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7" w:firstLineChars="500"/>
        <w:rPr>
          <w:b/>
          <w:bCs/>
          <w:sz w:val="36"/>
          <w:szCs w:val="44"/>
        </w:rPr>
      </w:pPr>
      <w:r>
        <w:rPr>
          <w:rFonts w:hint="eastAsia"/>
          <w:b/>
          <w:bCs/>
          <w:sz w:val="36"/>
          <w:szCs w:val="44"/>
        </w:rPr>
        <w:t>合肥二中</w:t>
      </w:r>
      <w:r>
        <w:rPr>
          <w:rFonts w:hint="eastAsia"/>
          <w:b/>
          <w:bCs/>
          <w:sz w:val="36"/>
          <w:szCs w:val="44"/>
          <w:lang w:val="en-US" w:eastAsia="zh-CN"/>
        </w:rPr>
        <w:t>教科室</w:t>
      </w:r>
      <w:r>
        <w:rPr>
          <w:rFonts w:hint="eastAsia"/>
          <w:b/>
          <w:bCs/>
          <w:sz w:val="36"/>
          <w:szCs w:val="44"/>
        </w:rPr>
        <w:t>2021年5月工作</w:t>
      </w:r>
      <w:bookmarkStart w:id="1" w:name="_GoBack"/>
      <w:bookmarkEnd w:id="1"/>
    </w:p>
    <w:p>
      <w:pPr>
        <w:rPr>
          <w:b/>
          <w:bCs/>
          <w:sz w:val="24"/>
          <w:szCs w:val="32"/>
        </w:rPr>
      </w:pPr>
      <w:r>
        <w:rPr>
          <w:rFonts w:hint="eastAsia"/>
          <w:b/>
          <w:bCs/>
          <w:sz w:val="24"/>
          <w:szCs w:val="32"/>
        </w:rPr>
        <w:t>工作回顾</w:t>
      </w:r>
    </w:p>
    <w:p>
      <w:pPr>
        <w:rPr>
          <w:b/>
          <w:bCs/>
          <w:sz w:val="24"/>
          <w:szCs w:val="32"/>
        </w:rPr>
      </w:pPr>
    </w:p>
    <w:p>
      <w:pPr>
        <w:numPr>
          <w:ilvl w:val="0"/>
          <w:numId w:val="1"/>
        </w:numPr>
        <w:rPr>
          <w:rFonts w:ascii="仿宋" w:hAnsi="仿宋" w:eastAsia="仿宋" w:cs="仿宋"/>
          <w:sz w:val="28"/>
          <w:szCs w:val="28"/>
        </w:rPr>
      </w:pPr>
      <w:r>
        <w:rPr>
          <w:rFonts w:hint="eastAsia" w:ascii="仿宋" w:hAnsi="仿宋" w:eastAsia="仿宋" w:cs="仿宋"/>
          <w:sz w:val="28"/>
          <w:szCs w:val="28"/>
        </w:rPr>
        <w:t>5月10日—28日，我校胡琼、柯璐、黄小华、黄鑫、李继军、周茜如、伍欣宇、周艳辉、马玲、刘丽婷老师分别开展了校内公开课，多名本学科和跨学科老师进行了观摩；</w:t>
      </w:r>
    </w:p>
    <w:p>
      <w:pPr>
        <w:numPr>
          <w:ilvl w:val="0"/>
          <w:numId w:val="1"/>
        </w:numPr>
        <w:rPr>
          <w:rFonts w:ascii="仿宋" w:hAnsi="仿宋" w:eastAsia="仿宋" w:cs="仿宋"/>
          <w:sz w:val="28"/>
          <w:szCs w:val="28"/>
        </w:rPr>
      </w:pPr>
      <w:r>
        <w:rPr>
          <w:rFonts w:hint="eastAsia" w:ascii="仿宋" w:hAnsi="仿宋" w:eastAsia="仿宋" w:cs="仿宋"/>
          <w:sz w:val="28"/>
          <w:szCs w:val="28"/>
        </w:rPr>
        <w:t>为切实推进信息技术应用能力提升工程2.0“整校推进”试点项目，促进信息技术与学科教学实践的深度融合，5月10日在我校多媒体报告厅举办了基于核心素养的英语学科大单元教学“一课三上”活动，来自我校、合肥三中和五中的高一教师参与了本次活动；</w:t>
      </w:r>
    </w:p>
    <w:p>
      <w:pPr>
        <w:numPr>
          <w:ilvl w:val="0"/>
          <w:numId w:val="1"/>
        </w:numPr>
        <w:rPr>
          <w:rFonts w:ascii="仿宋" w:hAnsi="仿宋" w:eastAsia="仿宋" w:cs="仿宋"/>
          <w:sz w:val="28"/>
          <w:szCs w:val="28"/>
        </w:rPr>
      </w:pPr>
      <w:r>
        <w:rPr>
          <w:rFonts w:hint="eastAsia" w:ascii="仿宋" w:hAnsi="仿宋" w:eastAsia="仿宋" w:cs="仿宋"/>
          <w:sz w:val="28"/>
          <w:szCs w:val="28"/>
        </w:rPr>
        <w:t>关于合肥二中2021年新课程新教材实施经验交流，在童智祥副校长的引导下，各高一备课组长积极出稿，解读了新课程新教材的实际教学情况和困惑；</w:t>
      </w:r>
    </w:p>
    <w:p>
      <w:pPr>
        <w:numPr>
          <w:ilvl w:val="0"/>
          <w:numId w:val="1"/>
        </w:numPr>
        <w:rPr>
          <w:rFonts w:ascii="仿宋" w:hAnsi="仿宋" w:eastAsia="仿宋" w:cs="仿宋"/>
          <w:sz w:val="28"/>
          <w:szCs w:val="28"/>
        </w:rPr>
      </w:pPr>
      <w:r>
        <w:rPr>
          <w:rFonts w:hint="eastAsia" w:ascii="仿宋" w:hAnsi="仿宋" w:eastAsia="仿宋" w:cs="仿宋"/>
          <w:sz w:val="28"/>
          <w:szCs w:val="28"/>
        </w:rPr>
        <w:t>关于信息类评比活动，各学科教研组长积极动员组内成员，推选了多名中青年教师，学校将于7月8日前完成推优；</w:t>
      </w:r>
    </w:p>
    <w:p>
      <w:pPr>
        <w:numPr>
          <w:ilvl w:val="0"/>
          <w:numId w:val="1"/>
        </w:numPr>
        <w:ind w:left="420" w:leftChars="0" w:hanging="420" w:firstLineChars="0"/>
        <w:rPr>
          <w:rFonts w:ascii="仿宋" w:hAnsi="仿宋" w:eastAsia="仿宋" w:cs="仿宋"/>
          <w:sz w:val="24"/>
          <w:szCs w:val="24"/>
        </w:rPr>
      </w:pPr>
      <w:r>
        <w:rPr>
          <w:rFonts w:hint="eastAsia" w:ascii="仿宋" w:hAnsi="仿宋" w:eastAsia="仿宋" w:cs="仿宋"/>
          <w:sz w:val="28"/>
          <w:szCs w:val="28"/>
        </w:rPr>
        <w:t>5月1</w:t>
      </w:r>
      <w:r>
        <w:rPr>
          <w:rFonts w:ascii="仿宋" w:hAnsi="仿宋" w:eastAsia="仿宋" w:cs="仿宋"/>
          <w:sz w:val="28"/>
          <w:szCs w:val="28"/>
        </w:rPr>
        <w:t>7</w:t>
      </w:r>
      <w:r>
        <w:rPr>
          <w:rFonts w:hint="eastAsia" w:ascii="仿宋" w:hAnsi="仿宋" w:eastAsia="仿宋" w:cs="仿宋"/>
          <w:sz w:val="28"/>
          <w:szCs w:val="28"/>
        </w:rPr>
        <w:t>日-28日，各学科开展了</w:t>
      </w:r>
      <w:r>
        <w:rPr>
          <w:rFonts w:hint="eastAsia" w:ascii="仿宋" w:hAnsi="仿宋" w:eastAsia="仿宋" w:cs="仿宋"/>
          <w:color w:val="auto"/>
          <w:sz w:val="28"/>
          <w:szCs w:val="36"/>
        </w:rPr>
        <w:t>教学基本功提升系列活动之“评一节课”的学习和实践，</w:t>
      </w:r>
      <w:r>
        <w:rPr>
          <w:rFonts w:hint="eastAsia" w:ascii="仿宋" w:hAnsi="仿宋" w:eastAsia="仿宋" w:cs="仿宋"/>
          <w:color w:val="auto"/>
          <w:sz w:val="28"/>
          <w:szCs w:val="36"/>
          <w:lang w:val="en-US" w:eastAsia="zh-CN"/>
        </w:rPr>
        <w:t>第一周进行了理论材料的学习，第二周各学科组进行了</w:t>
      </w:r>
      <w:r>
        <w:rPr>
          <w:rFonts w:hint="eastAsia" w:ascii="仿宋" w:hAnsi="仿宋" w:eastAsia="仿宋" w:cs="仿宋"/>
          <w:sz w:val="28"/>
          <w:szCs w:val="28"/>
        </w:rPr>
        <w:t>评课</w:t>
      </w:r>
      <w:r>
        <w:rPr>
          <w:rFonts w:hint="eastAsia" w:ascii="仿宋" w:hAnsi="仿宋" w:eastAsia="仿宋" w:cs="仿宋"/>
          <w:sz w:val="28"/>
          <w:szCs w:val="28"/>
          <w:lang w:val="en-US" w:eastAsia="zh-CN"/>
        </w:rPr>
        <w:t>活动</w:t>
      </w:r>
      <w:r>
        <w:rPr>
          <w:rFonts w:hint="eastAsia" w:ascii="仿宋" w:hAnsi="仿宋" w:eastAsia="仿宋" w:cs="仿宋"/>
          <w:sz w:val="28"/>
          <w:szCs w:val="28"/>
        </w:rPr>
        <w:t>，评课对象为除音乐和体育之外，参加智慧课堂或优质课的录课视频，评课活动要求与会的每位教师参与，共研讨，共进步。</w:t>
      </w:r>
    </w:p>
    <w:p>
      <w:pPr>
        <w:numPr>
          <w:ilvl w:val="0"/>
          <w:numId w:val="1"/>
        </w:numPr>
        <w:ind w:left="420" w:leftChars="0" w:hanging="420" w:firstLineChars="0"/>
        <w:rPr>
          <w:rFonts w:hint="eastAsia" w:ascii="仿宋" w:hAnsi="仿宋" w:eastAsia="仿宋" w:cs="仿宋"/>
          <w:b w:val="0"/>
          <w:bCs w:val="0"/>
          <w:color w:val="auto"/>
          <w:sz w:val="28"/>
          <w:szCs w:val="36"/>
        </w:rPr>
      </w:pPr>
      <w:r>
        <w:rPr>
          <w:rFonts w:hint="eastAsia" w:ascii="仿宋" w:hAnsi="仿宋" w:eastAsia="仿宋" w:cs="仿宋"/>
          <w:b w:val="0"/>
          <w:bCs w:val="0"/>
          <w:color w:val="auto"/>
          <w:sz w:val="28"/>
          <w:szCs w:val="36"/>
        </w:rPr>
        <w:t>美术</w:t>
      </w:r>
      <w:r>
        <w:rPr>
          <w:rFonts w:hint="eastAsia" w:ascii="仿宋" w:hAnsi="仿宋" w:eastAsia="仿宋" w:cs="仿宋"/>
          <w:b w:val="0"/>
          <w:bCs w:val="0"/>
          <w:color w:val="auto"/>
          <w:sz w:val="28"/>
          <w:szCs w:val="36"/>
          <w:lang w:val="en-US" w:eastAsia="zh-CN"/>
        </w:rPr>
        <w:t>组刘畅老师</w:t>
      </w:r>
      <w:r>
        <w:rPr>
          <w:rFonts w:hint="eastAsia" w:ascii="仿宋" w:hAnsi="仿宋" w:eastAsia="仿宋" w:cs="仿宋"/>
          <w:b w:val="0"/>
          <w:bCs w:val="0"/>
          <w:color w:val="auto"/>
          <w:sz w:val="28"/>
          <w:szCs w:val="36"/>
        </w:rPr>
        <w:t>和音乐</w:t>
      </w:r>
      <w:r>
        <w:rPr>
          <w:rFonts w:hint="eastAsia" w:ascii="仿宋" w:hAnsi="仿宋" w:eastAsia="仿宋" w:cs="仿宋"/>
          <w:b w:val="0"/>
          <w:bCs w:val="0"/>
          <w:color w:val="auto"/>
          <w:sz w:val="28"/>
          <w:szCs w:val="36"/>
          <w:lang w:val="en-US" w:eastAsia="zh-CN"/>
        </w:rPr>
        <w:t>组周艳辉、周茜如老师在本月参加了</w:t>
      </w:r>
      <w:r>
        <w:rPr>
          <w:rFonts w:hint="eastAsia" w:ascii="仿宋" w:hAnsi="仿宋" w:eastAsia="仿宋" w:cs="仿宋"/>
          <w:b w:val="0"/>
          <w:bCs w:val="0"/>
          <w:color w:val="auto"/>
          <w:sz w:val="28"/>
          <w:szCs w:val="36"/>
        </w:rPr>
        <w:t>市级优质课</w:t>
      </w:r>
      <w:r>
        <w:rPr>
          <w:rFonts w:hint="eastAsia" w:ascii="仿宋" w:hAnsi="仿宋" w:eastAsia="仿宋" w:cs="仿宋"/>
          <w:b w:val="0"/>
          <w:bCs w:val="0"/>
          <w:color w:val="auto"/>
          <w:sz w:val="28"/>
          <w:szCs w:val="36"/>
          <w:lang w:val="en-US" w:eastAsia="zh-CN"/>
        </w:rPr>
        <w:t>的录课。</w:t>
      </w:r>
    </w:p>
    <w:p>
      <w:pPr>
        <w:rPr>
          <w:b/>
          <w:bCs/>
          <w:sz w:val="24"/>
          <w:szCs w:val="32"/>
        </w:rPr>
      </w:pPr>
      <w:r>
        <w:rPr>
          <w:rFonts w:hint="eastAsia"/>
          <w:b/>
          <w:bCs/>
          <w:sz w:val="24"/>
          <w:szCs w:val="32"/>
        </w:rPr>
        <w:t>教研快讯</w:t>
      </w:r>
    </w:p>
    <w:p>
      <w:pPr>
        <w:numPr>
          <w:ilvl w:val="0"/>
          <w:numId w:val="1"/>
        </w:numPr>
        <w:rPr>
          <w:rFonts w:ascii="仿宋" w:hAnsi="仿宋" w:eastAsia="仿宋" w:cs="仿宋"/>
          <w:b/>
          <w:bCs/>
          <w:sz w:val="28"/>
          <w:szCs w:val="36"/>
        </w:rPr>
      </w:pPr>
      <w:r>
        <w:rPr>
          <w:rFonts w:hint="eastAsia"/>
          <w:b/>
          <w:bCs/>
          <w:sz w:val="24"/>
          <w:szCs w:val="32"/>
        </w:rPr>
        <w:t xml:space="preserve">   转发    </w:t>
      </w:r>
      <w:r>
        <w:rPr>
          <w:rFonts w:hint="eastAsia" w:ascii="仿宋" w:hAnsi="仿宋" w:eastAsia="仿宋" w:cs="仿宋"/>
          <w:b/>
          <w:bCs/>
          <w:sz w:val="28"/>
          <w:szCs w:val="36"/>
        </w:rPr>
        <w:t xml:space="preserve">关于组织教师参加“合肥市普通高中‘双新’国家级 </w:t>
      </w:r>
    </w:p>
    <w:p>
      <w:pPr>
        <w:rPr>
          <w:rFonts w:ascii="仿宋" w:hAnsi="仿宋" w:eastAsia="仿宋" w:cs="仿宋"/>
          <w:b/>
          <w:bCs/>
          <w:sz w:val="28"/>
          <w:szCs w:val="36"/>
        </w:rPr>
      </w:pPr>
      <w:r>
        <w:rPr>
          <w:rFonts w:hint="eastAsia" w:ascii="仿宋" w:hAnsi="仿宋" w:eastAsia="仿宋" w:cs="仿宋"/>
          <w:b/>
          <w:bCs/>
          <w:sz w:val="28"/>
          <w:szCs w:val="36"/>
        </w:rPr>
        <w:t xml:space="preserve">             示范区建设区域教研周活动”网上观摩学习的通知</w:t>
      </w:r>
    </w:p>
    <w:p>
      <w:pPr>
        <w:ind w:firstLine="560" w:firstLineChars="200"/>
        <w:rPr>
          <w:rFonts w:ascii="仿宋" w:hAnsi="仿宋" w:eastAsia="仿宋" w:cs="仿宋"/>
          <w:sz w:val="28"/>
          <w:szCs w:val="36"/>
        </w:rPr>
      </w:pPr>
      <w:r>
        <w:rPr>
          <w:rFonts w:hint="eastAsia" w:ascii="仿宋" w:hAnsi="仿宋" w:eastAsia="仿宋" w:cs="仿宋"/>
          <w:sz w:val="28"/>
          <w:szCs w:val="36"/>
        </w:rPr>
        <w:t>为聚焦新课程实施、新教材使用重难点问题，突出教学内容的整合与结构化设计，深入探索大单元的教学设计与实施，合肥市教育局基础教育处、 合肥市教育科学研究院决定于 2021 年 5 月 24 日——28 日举办“基于学科 核心素养的大单元教学——合肥市普通高中‘双新’国家级示范区建设区域 教研周活动”。</w:t>
      </w:r>
    </w:p>
    <w:p>
      <w:pPr>
        <w:ind w:firstLine="560" w:firstLineChars="200"/>
        <w:rPr>
          <w:rFonts w:ascii="仿宋" w:hAnsi="仿宋" w:eastAsia="仿宋" w:cs="仿宋"/>
          <w:sz w:val="28"/>
          <w:szCs w:val="36"/>
        </w:rPr>
      </w:pPr>
      <w:r>
        <w:rPr>
          <w:rFonts w:hint="eastAsia" w:ascii="仿宋" w:hAnsi="仿宋" w:eastAsia="仿宋" w:cs="仿宋"/>
          <w:sz w:val="28"/>
          <w:szCs w:val="36"/>
        </w:rPr>
        <w:t>活动采用现场上课+专家点评+专家讲座的形式开展，通过中国教研网平 台现场直播，请组织相关教师参加网上观摩学习。</w:t>
      </w:r>
    </w:p>
    <w:p>
      <w:pPr>
        <w:widowControl/>
        <w:jc w:val="left"/>
      </w:pPr>
      <w:r>
        <w:rPr>
          <w:rFonts w:hint="eastAsia"/>
          <w:sz w:val="24"/>
          <w:szCs w:val="32"/>
        </w:rPr>
        <w:t xml:space="preserve">                                          </w:t>
      </w:r>
      <w:r>
        <w:rPr>
          <w:rFonts w:ascii="仿宋" w:hAnsi="仿宋" w:eastAsia="仿宋" w:cs="仿宋"/>
          <w:color w:val="000000"/>
          <w:kern w:val="0"/>
          <w:sz w:val="30"/>
          <w:szCs w:val="30"/>
          <w:lang w:bidi="ar"/>
        </w:rPr>
        <w:t xml:space="preserve">合肥市教育科学研究院 </w:t>
      </w:r>
    </w:p>
    <w:p>
      <w:pPr>
        <w:widowControl/>
        <w:ind w:firstLine="5400" w:firstLineChars="1800"/>
        <w:jc w:val="left"/>
      </w:pPr>
      <w:r>
        <w:rPr>
          <w:rFonts w:hint="eastAsia" w:ascii="仿宋" w:hAnsi="仿宋" w:eastAsia="仿宋" w:cs="仿宋"/>
          <w:color w:val="000000"/>
          <w:kern w:val="0"/>
          <w:sz w:val="30"/>
          <w:szCs w:val="30"/>
          <w:lang w:bidi="ar"/>
        </w:rPr>
        <w:t>2021 年 5 月 21 日</w:t>
      </w:r>
    </w:p>
    <w:p>
      <w:pPr>
        <w:ind w:firstLine="480" w:firstLineChars="200"/>
        <w:rPr>
          <w:sz w:val="24"/>
          <w:szCs w:val="32"/>
        </w:rPr>
      </w:pPr>
    </w:p>
    <w:p>
      <w:pPr>
        <w:numPr>
          <w:ilvl w:val="0"/>
          <w:numId w:val="1"/>
        </w:numPr>
        <w:rPr>
          <w:sz w:val="28"/>
          <w:szCs w:val="36"/>
        </w:rPr>
      </w:pPr>
      <w:r>
        <w:rPr>
          <w:rFonts w:hint="eastAsia"/>
          <w:sz w:val="24"/>
          <w:szCs w:val="32"/>
        </w:rPr>
        <w:t xml:space="preserve"> 转发      </w:t>
      </w:r>
      <w:r>
        <w:rPr>
          <w:rFonts w:hint="eastAsia" w:ascii="仿宋" w:hAnsi="仿宋" w:eastAsia="仿宋" w:cs="仿宋"/>
          <w:b/>
          <w:bCs/>
          <w:sz w:val="28"/>
          <w:szCs w:val="36"/>
        </w:rPr>
        <w:t>关于组织参加第三届中华经典诵写讲大赛的通知</w:t>
      </w:r>
    </w:p>
    <w:p>
      <w:pPr>
        <w:rPr>
          <w:rFonts w:ascii="仿宋" w:hAnsi="仿宋" w:eastAsia="仿宋" w:cs="仿宋"/>
          <w:sz w:val="28"/>
          <w:szCs w:val="36"/>
        </w:rPr>
      </w:pPr>
      <w:r>
        <w:rPr>
          <w:rFonts w:hint="eastAsia" w:ascii="仿宋" w:hAnsi="仿宋" w:eastAsia="仿宋" w:cs="仿宋"/>
          <w:sz w:val="28"/>
          <w:szCs w:val="36"/>
        </w:rPr>
        <w:t>各县（市）区教育主管部门、语委办，各市管学校：</w:t>
      </w:r>
    </w:p>
    <w:p>
      <w:pPr>
        <w:ind w:firstLine="840" w:firstLineChars="300"/>
        <w:rPr>
          <w:rFonts w:ascii="仿宋" w:hAnsi="仿宋" w:eastAsia="仿宋" w:cs="仿宋"/>
          <w:sz w:val="28"/>
          <w:szCs w:val="36"/>
        </w:rPr>
      </w:pPr>
      <w:r>
        <w:rPr>
          <w:rFonts w:hint="eastAsia" w:ascii="仿宋" w:hAnsi="仿宋" w:eastAsia="仿宋" w:cs="仿宋"/>
          <w:sz w:val="28"/>
          <w:szCs w:val="36"/>
        </w:rPr>
        <w:t>根据《安徽省教育厅安徽省语言文字工作委员会关于组织参</w:t>
      </w:r>
    </w:p>
    <w:p>
      <w:pPr>
        <w:rPr>
          <w:rFonts w:ascii="仿宋" w:hAnsi="仿宋" w:eastAsia="仿宋" w:cs="仿宋"/>
          <w:sz w:val="28"/>
          <w:szCs w:val="36"/>
        </w:rPr>
      </w:pPr>
      <w:r>
        <w:rPr>
          <w:rFonts w:hint="eastAsia" w:ascii="仿宋" w:hAnsi="仿宋" w:eastAsia="仿宋" w:cs="仿宋"/>
          <w:sz w:val="28"/>
          <w:szCs w:val="36"/>
        </w:rPr>
        <w:t>加第三届中华经典诵写讲大赛的通知》精神，经研究决定，拟组织全市中小学生参加全国第三届中华经典诵写讲大赛。</w:t>
      </w:r>
    </w:p>
    <w:p>
      <w:pPr>
        <w:rPr>
          <w:rFonts w:ascii="仿宋" w:hAnsi="仿宋" w:eastAsia="仿宋" w:cs="仿宋"/>
          <w:sz w:val="28"/>
          <w:szCs w:val="36"/>
        </w:rPr>
      </w:pPr>
      <w:r>
        <w:rPr>
          <w:rFonts w:hint="eastAsia" w:ascii="仿宋" w:hAnsi="仿宋" w:eastAsia="仿宋" w:cs="仿宋"/>
          <w:sz w:val="28"/>
          <w:szCs w:val="36"/>
        </w:rPr>
        <w:t xml:space="preserve">      根据省教育统一安排，本届大赛我市举办“诵读中国”经典</w:t>
      </w:r>
    </w:p>
    <w:p>
      <w:pPr>
        <w:rPr>
          <w:rFonts w:ascii="仿宋" w:hAnsi="仿宋" w:eastAsia="仿宋" w:cs="仿宋"/>
          <w:sz w:val="28"/>
          <w:szCs w:val="36"/>
        </w:rPr>
      </w:pPr>
      <w:r>
        <w:rPr>
          <w:rFonts w:hint="eastAsia" w:ascii="仿宋" w:hAnsi="仿宋" w:eastAsia="仿宋" w:cs="仿宋"/>
          <w:sz w:val="28"/>
          <w:szCs w:val="36"/>
        </w:rPr>
        <w:t>诵读大赛、“笔墨中国”汉字书写大赛的市级预选赛，选拔优秀</w:t>
      </w:r>
    </w:p>
    <w:p>
      <w:pPr>
        <w:rPr>
          <w:rFonts w:ascii="仿宋" w:hAnsi="仿宋" w:eastAsia="仿宋" w:cs="仿宋"/>
          <w:sz w:val="28"/>
          <w:szCs w:val="36"/>
        </w:rPr>
      </w:pPr>
      <w:r>
        <w:rPr>
          <w:rFonts w:hint="eastAsia" w:ascii="仿宋" w:hAnsi="仿宋" w:eastAsia="仿宋" w:cs="仿宋"/>
          <w:sz w:val="28"/>
          <w:szCs w:val="36"/>
        </w:rPr>
        <w:t>作品参加省级预选赛，其中“笔墨中国”汉字书写大赛同时作为</w:t>
      </w:r>
    </w:p>
    <w:p>
      <w:pPr>
        <w:rPr>
          <w:rFonts w:ascii="仿宋" w:hAnsi="仿宋" w:eastAsia="仿宋" w:cs="仿宋"/>
          <w:sz w:val="28"/>
          <w:szCs w:val="36"/>
        </w:rPr>
      </w:pPr>
      <w:r>
        <w:rPr>
          <w:rFonts w:hint="eastAsia" w:ascii="仿宋" w:hAnsi="仿宋" w:eastAsia="仿宋" w:cs="仿宋"/>
          <w:sz w:val="28"/>
          <w:szCs w:val="36"/>
        </w:rPr>
        <w:t>合肥市第二届中小学师生书法大赛，设市级奖项。合肥市语委办</w:t>
      </w:r>
    </w:p>
    <w:p>
      <w:pPr>
        <w:rPr>
          <w:rFonts w:ascii="仿宋" w:hAnsi="仿宋" w:eastAsia="仿宋" w:cs="仿宋"/>
          <w:sz w:val="28"/>
          <w:szCs w:val="36"/>
        </w:rPr>
      </w:pPr>
      <w:r>
        <w:rPr>
          <w:rFonts w:hint="eastAsia" w:ascii="仿宋" w:hAnsi="仿宋" w:eastAsia="仿宋" w:cs="仿宋"/>
          <w:sz w:val="28"/>
          <w:szCs w:val="36"/>
        </w:rPr>
        <w:t>负责市级预选赛组织管理工作。“诗教中国”诗词讲解大赛、“印</w:t>
      </w:r>
    </w:p>
    <w:p>
      <w:pPr>
        <w:rPr>
          <w:rFonts w:ascii="仿宋" w:hAnsi="仿宋" w:eastAsia="仿宋" w:cs="仿宋"/>
          <w:sz w:val="28"/>
          <w:szCs w:val="36"/>
        </w:rPr>
      </w:pPr>
      <w:r>
        <w:rPr>
          <w:rFonts w:hint="eastAsia" w:ascii="仿宋" w:hAnsi="仿宋" w:eastAsia="仿宋" w:cs="仿宋"/>
          <w:sz w:val="28"/>
          <w:szCs w:val="36"/>
        </w:rPr>
        <w:t>记中国”师生篆刻大赛由参赛者直接登录国家大赛网站，自行报</w:t>
      </w:r>
    </w:p>
    <w:p>
      <w:pPr>
        <w:rPr>
          <w:rFonts w:ascii="仿宋" w:hAnsi="仿宋" w:eastAsia="仿宋" w:cs="仿宋"/>
          <w:sz w:val="28"/>
          <w:szCs w:val="36"/>
        </w:rPr>
      </w:pPr>
      <w:r>
        <w:rPr>
          <w:rFonts w:hint="eastAsia" w:ascii="仿宋" w:hAnsi="仿宋" w:eastAsia="仿宋" w:cs="仿宋"/>
          <w:sz w:val="28"/>
          <w:szCs w:val="36"/>
        </w:rPr>
        <w:t>名参加。</w:t>
      </w:r>
    </w:p>
    <w:p>
      <w:pPr>
        <w:rPr>
          <w:rFonts w:ascii="仿宋" w:hAnsi="仿宋" w:eastAsia="仿宋" w:cs="仿宋"/>
          <w:sz w:val="28"/>
          <w:szCs w:val="36"/>
        </w:rPr>
      </w:pPr>
    </w:p>
    <w:p>
      <w:pPr>
        <w:ind w:left="6160" w:hanging="6160" w:hangingChars="2200"/>
        <w:rPr>
          <w:rFonts w:ascii="仿宋" w:hAnsi="仿宋" w:eastAsia="仿宋" w:cs="仿宋"/>
          <w:sz w:val="28"/>
          <w:szCs w:val="36"/>
        </w:rPr>
      </w:pPr>
      <w:r>
        <w:rPr>
          <w:rFonts w:hint="eastAsia" w:ascii="仿宋" w:hAnsi="仿宋" w:eastAsia="仿宋" w:cs="仿宋"/>
          <w:sz w:val="28"/>
          <w:szCs w:val="36"/>
        </w:rPr>
        <w:t xml:space="preserve">                                           合肥市教育</w:t>
      </w:r>
    </w:p>
    <w:p>
      <w:pPr>
        <w:ind w:left="6147" w:leftChars="2527" w:hanging="840" w:hangingChars="300"/>
        <w:rPr>
          <w:rFonts w:ascii="仿宋" w:hAnsi="仿宋" w:eastAsia="仿宋" w:cs="仿宋"/>
          <w:b/>
          <w:bCs/>
          <w:sz w:val="28"/>
          <w:szCs w:val="36"/>
        </w:rPr>
      </w:pPr>
      <w:r>
        <w:rPr>
          <w:rFonts w:hint="eastAsia" w:ascii="仿宋" w:hAnsi="仿宋" w:eastAsia="仿宋" w:cs="仿宋"/>
          <w:sz w:val="28"/>
          <w:szCs w:val="36"/>
        </w:rPr>
        <w:t>2021 年 5 月 12 日</w:t>
      </w:r>
    </w:p>
    <w:p>
      <w:pPr>
        <w:rPr>
          <w:b/>
          <w:bCs/>
          <w:sz w:val="28"/>
          <w:szCs w:val="36"/>
        </w:rPr>
      </w:pPr>
    </w:p>
    <w:p>
      <w:pPr>
        <w:rPr>
          <w:b/>
          <w:bCs/>
          <w:sz w:val="28"/>
          <w:szCs w:val="36"/>
        </w:rPr>
      </w:pPr>
    </w:p>
    <w:p>
      <w:pPr>
        <w:rPr>
          <w:b/>
          <w:bCs/>
          <w:sz w:val="24"/>
          <w:szCs w:val="32"/>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hint="eastAsia" w:ascii="仿宋" w:hAnsi="仿宋" w:eastAsia="仿宋" w:cs="仿宋"/>
          <w:b/>
          <w:bCs/>
          <w:sz w:val="32"/>
          <w:szCs w:val="40"/>
        </w:rPr>
      </w:pPr>
    </w:p>
    <w:p>
      <w:pPr>
        <w:rPr>
          <w:rFonts w:ascii="仿宋" w:hAnsi="仿宋" w:eastAsia="仿宋" w:cs="仿宋"/>
          <w:b/>
          <w:bCs/>
          <w:sz w:val="32"/>
          <w:szCs w:val="40"/>
        </w:rPr>
      </w:pPr>
      <w:r>
        <w:rPr>
          <w:rFonts w:hint="eastAsia" w:ascii="仿宋" w:hAnsi="仿宋" w:eastAsia="仿宋" w:cs="仿宋"/>
          <w:b/>
          <w:bCs/>
          <w:sz w:val="32"/>
          <w:szCs w:val="40"/>
        </w:rPr>
        <w:t>教研喜讯</w:t>
      </w:r>
    </w:p>
    <w:p>
      <w:pPr>
        <w:numPr>
          <w:ilvl w:val="0"/>
          <w:numId w:val="1"/>
        </w:numPr>
        <w:rPr>
          <w:rFonts w:ascii="仿宋" w:hAnsi="仿宋" w:eastAsia="仿宋" w:cs="仿宋"/>
          <w:sz w:val="28"/>
          <w:szCs w:val="36"/>
        </w:rPr>
      </w:pPr>
      <w:r>
        <w:rPr>
          <w:rFonts w:hint="eastAsia" w:ascii="仿宋" w:hAnsi="仿宋" w:eastAsia="仿宋" w:cs="仿宋"/>
          <w:sz w:val="28"/>
          <w:szCs w:val="36"/>
        </w:rPr>
        <w:t>在合肥市教育局建党100周年政治小论文评选活动中：</w:t>
      </w:r>
    </w:p>
    <w:p>
      <w:pPr>
        <w:rPr>
          <w:rFonts w:ascii="仿宋" w:hAnsi="仿宋" w:eastAsia="仿宋" w:cs="仿宋"/>
          <w:sz w:val="28"/>
          <w:szCs w:val="36"/>
        </w:rPr>
      </w:pPr>
      <w:r>
        <w:rPr>
          <w:rFonts w:hint="eastAsia" w:ascii="仿宋" w:hAnsi="仿宋" w:eastAsia="仿宋" w:cs="仿宋"/>
          <w:sz w:val="28"/>
          <w:szCs w:val="36"/>
        </w:rPr>
        <w:t>我校董云老师的指导作品《永不褪色的底色》荣获市级一等奖；</w:t>
      </w:r>
    </w:p>
    <w:p>
      <w:pPr>
        <w:ind w:left="840" w:hanging="840" w:hangingChars="300"/>
        <w:rPr>
          <w:rFonts w:ascii="仿宋" w:hAnsi="仿宋" w:eastAsia="仿宋" w:cs="仿宋"/>
          <w:sz w:val="28"/>
          <w:szCs w:val="36"/>
        </w:rPr>
      </w:pPr>
      <w:r>
        <w:rPr>
          <w:rFonts w:hint="eastAsia" w:ascii="仿宋" w:hAnsi="仿宋" w:eastAsia="仿宋" w:cs="仿宋"/>
          <w:sz w:val="28"/>
          <w:szCs w:val="36"/>
        </w:rPr>
        <w:t>孙圣斌老师的指导作品《平凡的生命，不凡的信仰》荣获市级一等奖，指导作品《我心向党，伴我成长》荣获市级三等奖；</w:t>
      </w:r>
    </w:p>
    <w:p>
      <w:pPr>
        <w:rPr>
          <w:rFonts w:ascii="仿宋" w:hAnsi="仿宋" w:eastAsia="仿宋" w:cs="仿宋"/>
          <w:sz w:val="28"/>
          <w:szCs w:val="36"/>
        </w:rPr>
      </w:pPr>
      <w:r>
        <w:rPr>
          <w:rFonts w:hint="eastAsia" w:ascii="仿宋" w:hAnsi="仿宋" w:eastAsia="仿宋" w:cs="仿宋"/>
          <w:sz w:val="28"/>
          <w:szCs w:val="36"/>
        </w:rPr>
        <w:t>吴玉娟老师的指导作品《回眸昨日，展望未来》荣获市级二等奖；</w:t>
      </w:r>
    </w:p>
    <w:p>
      <w:pPr>
        <w:rPr>
          <w:rFonts w:ascii="仿宋" w:hAnsi="仿宋" w:eastAsia="仿宋" w:cs="仿宋"/>
          <w:sz w:val="28"/>
          <w:szCs w:val="36"/>
        </w:rPr>
      </w:pPr>
      <w:r>
        <w:rPr>
          <w:rFonts w:hint="eastAsia" w:ascii="仿宋" w:hAnsi="仿宋" w:eastAsia="仿宋" w:cs="仿宋"/>
          <w:sz w:val="28"/>
          <w:szCs w:val="36"/>
        </w:rPr>
        <w:t>苏伶俐老师的指导作品《党在我心中》荣获市级二等奖，</w:t>
      </w:r>
    </w:p>
    <w:p>
      <w:pPr>
        <w:ind w:firstLine="840" w:firstLineChars="300"/>
        <w:rPr>
          <w:rFonts w:ascii="仿宋" w:hAnsi="仿宋" w:eastAsia="仿宋" w:cs="仿宋"/>
          <w:sz w:val="28"/>
          <w:szCs w:val="36"/>
        </w:rPr>
      </w:pPr>
      <w:r>
        <w:rPr>
          <w:rFonts w:hint="eastAsia" w:ascii="仿宋" w:hAnsi="仿宋" w:eastAsia="仿宋" w:cs="仿宋"/>
          <w:sz w:val="28"/>
          <w:szCs w:val="36"/>
        </w:rPr>
        <w:t>指导作品《永远的旗帜—党在我心中》荣获市级三等奖；</w:t>
      </w:r>
    </w:p>
    <w:p>
      <w:pPr>
        <w:rPr>
          <w:rFonts w:ascii="仿宋" w:hAnsi="仿宋" w:eastAsia="仿宋" w:cs="仿宋"/>
          <w:sz w:val="28"/>
          <w:szCs w:val="36"/>
        </w:rPr>
      </w:pPr>
      <w:r>
        <w:rPr>
          <w:rFonts w:hint="eastAsia" w:ascii="仿宋" w:hAnsi="仿宋" w:eastAsia="仿宋" w:cs="仿宋"/>
          <w:sz w:val="28"/>
          <w:szCs w:val="36"/>
        </w:rPr>
        <w:t>朱先飞老师的指导作品《初心似炬，使命在肩》荣获市级二等奖，</w:t>
      </w:r>
    </w:p>
    <w:p>
      <w:pPr>
        <w:ind w:left="838" w:leftChars="399"/>
        <w:rPr>
          <w:rFonts w:hint="eastAsia" w:ascii="仿宋" w:hAnsi="仿宋" w:eastAsia="仿宋" w:cs="仿宋"/>
          <w:sz w:val="28"/>
          <w:szCs w:val="36"/>
        </w:rPr>
      </w:pPr>
      <w:r>
        <w:rPr>
          <w:rFonts w:hint="eastAsia" w:ascii="仿宋" w:hAnsi="仿宋" w:eastAsia="仿宋" w:cs="仿宋"/>
          <w:sz w:val="28"/>
          <w:szCs w:val="36"/>
        </w:rPr>
        <w:t>《为天地立心，为生民立民—庆祝中国共产党诞辰100周年》、《人间最美是我党》、《祖国百年正青春，家园巨变念党恩—庆祝中国共产党诞辰100周年》荣获市级三等奖。</w:t>
      </w:r>
    </w:p>
    <w:p>
      <w:pPr>
        <w:numPr>
          <w:ilvl w:val="0"/>
          <w:numId w:val="1"/>
        </w:numPr>
        <w:ind w:left="420" w:leftChars="0" w:hanging="420" w:firstLineChars="0"/>
        <w:rPr>
          <w:rFonts w:hint="eastAsia" w:ascii="仿宋" w:hAnsi="仿宋" w:eastAsia="仿宋" w:cs="仿宋"/>
          <w:sz w:val="28"/>
          <w:szCs w:val="36"/>
        </w:rPr>
      </w:pPr>
      <w:r>
        <w:rPr>
          <w:rFonts w:hint="eastAsia" w:ascii="仿宋" w:hAnsi="仿宋" w:eastAsia="仿宋" w:cs="仿宋"/>
          <w:sz w:val="28"/>
          <w:szCs w:val="36"/>
          <w:lang w:val="en-US" w:eastAsia="zh-CN"/>
        </w:rPr>
        <w:t>在</w:t>
      </w:r>
      <w:r>
        <w:rPr>
          <w:rFonts w:hint="eastAsia" w:ascii="仿宋" w:hAnsi="仿宋" w:eastAsia="仿宋" w:cs="仿宋"/>
          <w:sz w:val="28"/>
          <w:szCs w:val="36"/>
        </w:rPr>
        <w:t>2021年合肥市学生信息素养提升实践活动中，</w:t>
      </w:r>
      <w:r>
        <w:rPr>
          <w:rFonts w:hint="eastAsia" w:ascii="仿宋" w:hAnsi="仿宋" w:eastAsia="仿宋" w:cs="仿宋"/>
          <w:sz w:val="28"/>
          <w:szCs w:val="36"/>
          <w:lang w:val="en-US" w:eastAsia="zh-CN"/>
        </w:rPr>
        <w:t>我校魏锐老师指导的多个作品获得了优异成绩，其中高二4班昂安楠同学的作品《战疫天使》获电脑艺术设计类一等奖，高二9班赵聃同学的作品《疫无反顾》和何文周同学的作品《战疫者》获电脑艺术设计类三等奖。</w:t>
      </w:r>
    </w:p>
    <w:p>
      <w:pPr>
        <w:rPr>
          <w:b/>
          <w:bCs/>
          <w:sz w:val="24"/>
          <w:szCs w:val="32"/>
        </w:rPr>
      </w:pPr>
    </w:p>
    <w:p>
      <w:pPr>
        <w:rPr>
          <w:b/>
          <w:bCs/>
          <w:sz w:val="24"/>
          <w:szCs w:val="32"/>
        </w:rPr>
      </w:pPr>
    </w:p>
    <w:p>
      <w:pPr>
        <w:rPr>
          <w:rFonts w:hint="eastAsia"/>
          <w:b/>
          <w:bCs/>
          <w:sz w:val="24"/>
          <w:szCs w:val="32"/>
        </w:rPr>
      </w:pPr>
    </w:p>
    <w:p>
      <w:pPr>
        <w:rPr>
          <w:rFonts w:hint="eastAsia"/>
          <w:b/>
          <w:bCs/>
          <w:sz w:val="24"/>
          <w:szCs w:val="32"/>
        </w:rPr>
      </w:pPr>
    </w:p>
    <w:p>
      <w:pPr>
        <w:rPr>
          <w:rFonts w:hint="eastAsia"/>
          <w:b/>
          <w:bCs/>
          <w:sz w:val="24"/>
          <w:szCs w:val="32"/>
        </w:rPr>
      </w:pPr>
    </w:p>
    <w:p>
      <w:pPr>
        <w:rPr>
          <w:rFonts w:hint="eastAsia"/>
          <w:b/>
          <w:bCs/>
          <w:sz w:val="24"/>
          <w:szCs w:val="32"/>
        </w:rPr>
      </w:pPr>
    </w:p>
    <w:p>
      <w:pPr>
        <w:rPr>
          <w:rFonts w:hint="eastAsia"/>
          <w:b/>
          <w:bCs/>
          <w:sz w:val="24"/>
          <w:szCs w:val="32"/>
        </w:rPr>
      </w:pPr>
    </w:p>
    <w:p>
      <w:pPr>
        <w:rPr>
          <w:rFonts w:hint="eastAsia"/>
          <w:b/>
          <w:bCs/>
          <w:sz w:val="24"/>
          <w:szCs w:val="32"/>
        </w:rPr>
      </w:pPr>
    </w:p>
    <w:p>
      <w:pPr>
        <w:rPr>
          <w:rFonts w:hint="eastAsia"/>
          <w:b/>
          <w:bCs/>
          <w:sz w:val="24"/>
          <w:szCs w:val="32"/>
        </w:rPr>
      </w:pPr>
    </w:p>
    <w:p>
      <w:pPr>
        <w:rPr>
          <w:rFonts w:hint="eastAsia"/>
          <w:b/>
          <w:bCs/>
          <w:sz w:val="24"/>
          <w:szCs w:val="32"/>
        </w:rPr>
      </w:pPr>
    </w:p>
    <w:p>
      <w:pPr>
        <w:rPr>
          <w:b/>
          <w:bCs/>
          <w:sz w:val="24"/>
          <w:szCs w:val="32"/>
        </w:rPr>
      </w:pPr>
      <w:r>
        <w:rPr>
          <w:rFonts w:hint="eastAsia"/>
          <w:b/>
          <w:bCs/>
          <w:sz w:val="24"/>
          <w:szCs w:val="32"/>
        </w:rPr>
        <w:t>教研正当时</w:t>
      </w:r>
    </w:p>
    <w:p>
      <w:pPr>
        <w:pStyle w:val="2"/>
        <w:widowControl/>
        <w:spacing w:before="750" w:beforeAutospacing="0" w:after="300" w:afterAutospacing="0"/>
        <w:ind w:firstLine="2161" w:firstLineChars="900"/>
        <w:jc w:val="both"/>
        <w:rPr>
          <w:rFonts w:hint="default" w:ascii="微软雅黑" w:hAnsi="微软雅黑" w:eastAsia="微软雅黑" w:cs="微软雅黑"/>
          <w:color w:val="5D5D5D"/>
          <w:sz w:val="24"/>
          <w:szCs w:val="24"/>
        </w:rPr>
      </w:pPr>
      <w:r>
        <w:rPr>
          <w:rFonts w:ascii="微软雅黑" w:hAnsi="微软雅黑" w:eastAsia="微软雅黑" w:cs="微软雅黑"/>
          <w:color w:val="5D5D5D"/>
          <w:sz w:val="24"/>
          <w:szCs w:val="24"/>
        </w:rPr>
        <w:t>同课异构展风采，交流互鉴促成长</w:t>
      </w:r>
    </w:p>
    <w:p>
      <w:pPr>
        <w:pStyle w:val="3"/>
        <w:widowControl/>
        <w:spacing w:before="375" w:beforeAutospacing="0" w:afterAutospacing="0" w:line="375" w:lineRule="atLeast"/>
        <w:ind w:firstLine="422"/>
        <w:jc w:val="both"/>
        <w:rPr>
          <w:rFonts w:ascii="微软雅黑" w:hAnsi="微软雅黑" w:eastAsia="微软雅黑" w:cs="微软雅黑"/>
          <w:color w:val="575656"/>
        </w:rPr>
      </w:pPr>
      <w:r>
        <w:rPr>
          <w:rFonts w:hint="eastAsia" w:ascii="微软雅黑" w:hAnsi="微软雅黑" w:eastAsia="微软雅黑" w:cs="微软雅黑"/>
          <w:color w:val="575656"/>
        </w:rPr>
        <w:t>为切实推进信息技术应用能力提升工程2.0“整校推进”试点项目，促进信息技术与学科教学实践的深度融合，5月10日在我校多媒体报告厅举办了基于核心素养的英语学科大单元教学“一课三上”活动，来自我校、合肥三中和五中的高一教师参与了本次活动。</w:t>
      </w:r>
    </w:p>
    <w:p>
      <w:pPr>
        <w:pStyle w:val="3"/>
        <w:widowControl/>
        <w:spacing w:beforeAutospacing="0" w:afterAutospacing="0" w:line="375" w:lineRule="atLeast"/>
        <w:ind w:firstLine="422"/>
        <w:jc w:val="both"/>
      </w:pPr>
      <w:r>
        <w:rPr>
          <w:rFonts w:hint="eastAsia" w:ascii="微软雅黑" w:hAnsi="微软雅黑" w:eastAsia="微软雅黑" w:cs="微软雅黑"/>
          <w:color w:val="575656"/>
        </w:rPr>
        <w:t>本次“一课三上”活动分为两部分，其中上午由青年教师、骨干教师和学科专家进行同课异构，下午在专家引领下共同评课。</w:t>
      </w:r>
    </w:p>
    <w:p>
      <w:pPr>
        <w:pStyle w:val="3"/>
        <w:widowControl/>
        <w:spacing w:beforeAutospacing="0" w:afterAutospacing="0" w:line="375" w:lineRule="atLeast"/>
        <w:jc w:val="both"/>
      </w:pPr>
      <w:r>
        <w:rPr>
          <w:rFonts w:hint="eastAsia" w:ascii="微软雅黑" w:hAnsi="微软雅黑" w:eastAsia="微软雅黑" w:cs="微软雅黑"/>
          <w:color w:val="575656"/>
        </w:rPr>
        <w:t>　　在上午的同课异构活动中，来自中国地质大学附属中学的高级教师、学科专家董欣璇，来自我校的骨干教师姚敏和青年教师杨小芳，围绕新版北师大教材第九单元《Do boys and girls have different reading habits?》,带来了精彩纷呈的课堂教学。杨小芳老师别出心裁，采用分段阅读的教学方法，贴合学生实际学情，帮助学生降低阅读难度。姚敏老师围绕大单元教学目标，设计了丰富有趣的课堂活动，既富有教学深度，又具有可操作性。学科专家董欣璇老师则以新颖的课堂导入方式切入，根据英语学习活动课的要求，设计了科学合理、循序渐进的课堂活动，引导学生充分参与课堂。</w:t>
      </w:r>
    </w:p>
    <w:p>
      <w:pPr>
        <w:pStyle w:val="3"/>
        <w:widowControl/>
        <w:spacing w:before="375" w:beforeAutospacing="0" w:afterAutospacing="0" w:line="375" w:lineRule="atLeast"/>
        <w:jc w:val="center"/>
      </w:pPr>
      <w:r>
        <w:rPr>
          <w:rFonts w:hint="eastAsia" w:ascii="微软雅黑" w:hAnsi="微软雅黑" w:eastAsia="微软雅黑" w:cs="微软雅黑"/>
          <w:color w:val="575656"/>
          <w:sz w:val="21"/>
          <w:szCs w:val="21"/>
        </w:rPr>
        <w:drawing>
          <wp:inline distT="0" distB="0" distL="114300" distR="114300">
            <wp:extent cx="3963670" cy="3963670"/>
            <wp:effectExtent l="0" t="0" r="17780" b="17780"/>
            <wp:docPr id="10"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jpg"/>
                    <pic:cNvPicPr>
                      <a:picLocks noChangeAspect="1"/>
                    </pic:cNvPicPr>
                  </pic:nvPicPr>
                  <pic:blipFill>
                    <a:blip r:embed="rId4"/>
                    <a:stretch>
                      <a:fillRect/>
                    </a:stretch>
                  </pic:blipFill>
                  <pic:spPr>
                    <a:xfrm>
                      <a:off x="0" y="0"/>
                      <a:ext cx="3963670" cy="3963670"/>
                    </a:xfrm>
                    <a:prstGeom prst="rect">
                      <a:avLst/>
                    </a:prstGeom>
                    <a:noFill/>
                    <a:ln w="9525">
                      <a:noFill/>
                    </a:ln>
                  </pic:spPr>
                </pic:pic>
              </a:graphicData>
            </a:graphic>
          </wp:inline>
        </w:drawing>
      </w:r>
    </w:p>
    <w:p>
      <w:pPr>
        <w:pStyle w:val="3"/>
        <w:widowControl/>
        <w:spacing w:beforeAutospacing="0" w:afterAutospacing="0" w:line="375" w:lineRule="atLeast"/>
        <w:jc w:val="both"/>
      </w:pPr>
      <w:r>
        <w:rPr>
          <w:rFonts w:hint="eastAsia" w:ascii="微软雅黑" w:hAnsi="微软雅黑" w:eastAsia="微软雅黑" w:cs="微软雅黑"/>
          <w:color w:val="575656"/>
        </w:rPr>
        <w:t>　　在下午的评课活动中，合肥教科院信息技术应用研究中心主任田钰表示，教师的课堂教学要注重将信息技术巧妙、创新地融入课程当中，让技术为教学服务，切实提高教学效果。接着，合肥一中特级教师杨玉乐也针对三位老师的课堂做了鞭辟入里的分析评价，既肯定了三位老师新颖、丰富的课堂教学设计，也在教学实践方面提出了诸多具有较强操作性的改进建议。最后，董欣璇、姚敏和杨小芳老师也分享了各自的教学设计理念及本次活动的心得体会。</w:t>
      </w:r>
    </w:p>
    <w:p>
      <w:pPr>
        <w:pStyle w:val="3"/>
        <w:widowControl/>
        <w:spacing w:before="375" w:beforeAutospacing="0" w:afterAutospacing="0" w:line="375" w:lineRule="atLeast"/>
        <w:jc w:val="center"/>
      </w:pPr>
      <w:r>
        <w:rPr>
          <w:rFonts w:hint="eastAsia" w:ascii="微软雅黑" w:hAnsi="微软雅黑" w:eastAsia="微软雅黑" w:cs="微软雅黑"/>
          <w:color w:val="575656"/>
          <w:sz w:val="21"/>
          <w:szCs w:val="21"/>
        </w:rPr>
        <w:drawing>
          <wp:inline distT="0" distB="0" distL="114300" distR="114300">
            <wp:extent cx="4544695" cy="4544695"/>
            <wp:effectExtent l="0" t="0" r="8255" b="8255"/>
            <wp:docPr id="8"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jpg"/>
                    <pic:cNvPicPr>
                      <a:picLocks noChangeAspect="1"/>
                    </pic:cNvPicPr>
                  </pic:nvPicPr>
                  <pic:blipFill>
                    <a:blip r:embed="rId5"/>
                    <a:stretch>
                      <a:fillRect/>
                    </a:stretch>
                  </pic:blipFill>
                  <pic:spPr>
                    <a:xfrm>
                      <a:off x="0" y="0"/>
                      <a:ext cx="4544695" cy="4544695"/>
                    </a:xfrm>
                    <a:prstGeom prst="rect">
                      <a:avLst/>
                    </a:prstGeom>
                    <a:noFill/>
                    <a:ln w="9525">
                      <a:noFill/>
                    </a:ln>
                  </pic:spPr>
                </pic:pic>
              </a:graphicData>
            </a:graphic>
          </wp:inline>
        </w:drawing>
      </w:r>
    </w:p>
    <w:p>
      <w:pPr>
        <w:pStyle w:val="3"/>
        <w:widowControl/>
        <w:spacing w:beforeAutospacing="0" w:after="105" w:afterAutospacing="0" w:line="375" w:lineRule="atLeast"/>
        <w:jc w:val="both"/>
      </w:pPr>
      <w:r>
        <w:rPr>
          <w:rFonts w:hint="eastAsia" w:ascii="微软雅黑" w:hAnsi="微软雅黑" w:eastAsia="微软雅黑" w:cs="微软雅黑"/>
          <w:color w:val="575656"/>
        </w:rPr>
        <w:t>　　在新课程新教材全面贯彻落实的背景下，我校积极抓住各种机会和平台，不断吸收先进的教育教学理念，积极探索适合我校学情的教学方法，努力提升学校的学科教学质量和水平。</w:t>
      </w:r>
    </w:p>
    <w:p>
      <w:pPr>
        <w:pStyle w:val="3"/>
        <w:widowControl/>
        <w:spacing w:beforeAutospacing="0" w:after="675" w:afterAutospacing="0" w:line="375" w:lineRule="atLeast"/>
        <w:jc w:val="center"/>
        <w:rPr>
          <w:rFonts w:ascii="微软雅黑" w:hAnsi="微软雅黑" w:eastAsia="微软雅黑" w:cs="微软雅黑"/>
          <w:color w:val="575656"/>
          <w:sz w:val="21"/>
          <w:szCs w:val="21"/>
        </w:rPr>
      </w:pPr>
      <w:r>
        <w:rPr>
          <w:rFonts w:hint="eastAsia" w:ascii="微软雅黑" w:hAnsi="微软雅黑" w:eastAsia="微软雅黑" w:cs="微软雅黑"/>
          <w:color w:val="575656"/>
          <w:sz w:val="21"/>
          <w:szCs w:val="21"/>
        </w:rPr>
        <w:drawing>
          <wp:inline distT="0" distB="0" distL="114300" distR="114300">
            <wp:extent cx="4909820" cy="2945765"/>
            <wp:effectExtent l="0" t="0" r="5080" b="6985"/>
            <wp:docPr id="9"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3.png"/>
                    <pic:cNvPicPr>
                      <a:picLocks noChangeAspect="1"/>
                    </pic:cNvPicPr>
                  </pic:nvPicPr>
                  <pic:blipFill>
                    <a:blip r:embed="rId6"/>
                    <a:stretch>
                      <a:fillRect/>
                    </a:stretch>
                  </pic:blipFill>
                  <pic:spPr>
                    <a:xfrm>
                      <a:off x="0" y="0"/>
                      <a:ext cx="4909820" cy="2945765"/>
                    </a:xfrm>
                    <a:prstGeom prst="rect">
                      <a:avLst/>
                    </a:prstGeom>
                    <a:noFill/>
                    <a:ln w="9525">
                      <a:noFill/>
                    </a:ln>
                  </pic:spPr>
                </pic:pic>
              </a:graphicData>
            </a:graphic>
          </wp:inline>
        </w:drawing>
      </w:r>
    </w:p>
    <w:p>
      <w:pPr>
        <w:pStyle w:val="3"/>
        <w:widowControl/>
        <w:spacing w:beforeAutospacing="0" w:after="675" w:afterAutospacing="0" w:line="375" w:lineRule="atLeast"/>
        <w:ind w:firstLine="1606" w:firstLineChars="500"/>
        <w:jc w:val="both"/>
        <w:rPr>
          <w:rFonts w:ascii="仿宋" w:hAnsi="仿宋" w:eastAsia="仿宋" w:cs="仿宋"/>
          <w:sz w:val="28"/>
          <w:szCs w:val="36"/>
        </w:rPr>
      </w:pPr>
      <w:r>
        <w:rPr>
          <w:rFonts w:hint="eastAsia" w:ascii="仿宋" w:hAnsi="仿宋" w:eastAsia="仿宋" w:cs="仿宋"/>
          <w:b/>
          <w:bCs/>
          <w:sz w:val="32"/>
          <w:szCs w:val="40"/>
        </w:rPr>
        <w:t xml:space="preserve">精品录课展成果  集体评课促成长 </w:t>
      </w:r>
    </w:p>
    <w:p>
      <w:pPr>
        <w:pStyle w:val="3"/>
        <w:widowControl/>
        <w:spacing w:beforeAutospacing="0" w:afterAutospacing="0" w:line="375" w:lineRule="atLeast"/>
        <w:ind w:firstLine="840" w:firstLineChars="300"/>
        <w:jc w:val="both"/>
        <w:rPr>
          <w:rFonts w:ascii="仿宋" w:hAnsi="仿宋" w:eastAsia="仿宋" w:cs="仿宋"/>
          <w:sz w:val="28"/>
          <w:szCs w:val="36"/>
        </w:rPr>
      </w:pPr>
      <w:r>
        <w:rPr>
          <w:rFonts w:hint="eastAsia" w:ascii="仿宋" w:hAnsi="仿宋" w:eastAsia="仿宋" w:cs="仿宋"/>
          <w:sz w:val="28"/>
          <w:szCs w:val="36"/>
        </w:rPr>
        <w:t>评课是教学、教研工作中经常开展的一项重要活动,是教师总结教学经验和提高教学水平的有效手段,是教者和听者共同学习成长的催化剂。为了促进教师专业发展，提升教学质量，五月中下旬，合肥二中教科室专门组织了各个学科组为期两周的</w:t>
      </w:r>
      <w:bookmarkStart w:id="0" w:name="_Hlk73345480"/>
      <w:r>
        <w:rPr>
          <w:rFonts w:hint="eastAsia" w:ascii="仿宋" w:hAnsi="仿宋" w:eastAsia="仿宋" w:cs="仿宋"/>
          <w:sz w:val="28"/>
          <w:szCs w:val="36"/>
        </w:rPr>
        <w:t>教学基本功提升系列活动之“评一节课”的学习和实践</w:t>
      </w:r>
      <w:bookmarkEnd w:id="0"/>
      <w:r>
        <w:rPr>
          <w:rFonts w:hint="eastAsia" w:ascii="仿宋" w:hAnsi="仿宋" w:eastAsia="仿宋" w:cs="仿宋"/>
          <w:sz w:val="28"/>
          <w:szCs w:val="36"/>
        </w:rPr>
        <w:t>。</w:t>
      </w:r>
    </w:p>
    <w:p>
      <w:pPr>
        <w:spacing w:before="78" w:beforeLines="25"/>
        <w:ind w:firstLine="560" w:firstLineChars="200"/>
        <w:rPr>
          <w:rFonts w:ascii="仿宋" w:hAnsi="仿宋" w:eastAsia="仿宋" w:cs="仿宋"/>
          <w:sz w:val="28"/>
          <w:szCs w:val="36"/>
        </w:rPr>
      </w:pPr>
      <w:r>
        <w:rPr>
          <w:rFonts w:hint="eastAsia" w:ascii="仿宋" w:hAnsi="仿宋" w:eastAsia="仿宋" w:cs="仿宋"/>
          <w:sz w:val="28"/>
          <w:szCs w:val="36"/>
        </w:rPr>
        <w:t>首先，各个学科组学习了关于评课的理论材料，包括《基于教学要素的听评课维度构建》、《评课，请走出这些误区》，以及《高中“新课程新教材”背景下的听评课视角转变》，在各学科教研组长的带领下，组员认真学习和研讨，了解到通过自我研修，同伴互助来走出评课误区，从而加强教学研究和指导。</w:t>
      </w:r>
    </w:p>
    <w:p>
      <w:pPr>
        <w:ind w:firstLine="560" w:firstLineChars="200"/>
        <w:rPr>
          <w:rFonts w:ascii="仿宋" w:hAnsi="仿宋" w:eastAsia="仿宋" w:cs="仿宋"/>
          <w:sz w:val="28"/>
          <w:szCs w:val="36"/>
        </w:rPr>
      </w:pPr>
      <w:r>
        <w:rPr>
          <w:rFonts w:hint="eastAsia" w:ascii="仿宋" w:hAnsi="仿宋" w:eastAsia="仿宋" w:cs="仿宋"/>
          <w:sz w:val="28"/>
          <w:szCs w:val="36"/>
        </w:rPr>
        <w:t>其次，理论指导实践，各学科组利用教研活动时间积极开展评课活动，评课对象为除音乐和体育学科之外，参加智慧课堂或优质课的录课视频。参加评课的老师每人一份评课表，从教学设计、教学资源、教学内容、课堂组织、教学基本功与教学素养等多方面，尤其是新课程新教材实施背景下的大单元教学、学生核心素养培养方面，对录课进行评价。评价的过程是学习闪光点的过程，同时也是发现问题、解决问题的过程。新课程理念下，课堂教学不再仅仅是传授知识，教学的一切活动都是着眼于学生的发展，能够综合运用学科观念、思维模式和探究技能等，去发现问题、解决问题的综合性品质才是学科素养落实的最优体现。</w:t>
      </w:r>
    </w:p>
    <w:p>
      <w:pPr>
        <w:ind w:firstLine="560" w:firstLineChars="200"/>
        <w:rPr>
          <w:rFonts w:ascii="仿宋" w:hAnsi="仿宋" w:eastAsia="仿宋" w:cs="仿宋"/>
          <w:sz w:val="28"/>
          <w:szCs w:val="36"/>
        </w:rPr>
      </w:pPr>
      <w:r>
        <w:rPr>
          <w:rFonts w:ascii="仿宋" w:hAnsi="仿宋" w:eastAsia="仿宋" w:cs="仿宋"/>
          <w:sz w:val="28"/>
          <w:szCs w:val="36"/>
        </w:rPr>
        <w:drawing>
          <wp:inline distT="0" distB="0" distL="114300" distR="114300">
            <wp:extent cx="4329430" cy="3355340"/>
            <wp:effectExtent l="0" t="0" r="13970" b="16510"/>
            <wp:docPr id="4" name="图片 4" descr="QQ图片2021052716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10527160301"/>
                    <pic:cNvPicPr>
                      <a:picLocks noChangeAspect="1"/>
                    </pic:cNvPicPr>
                  </pic:nvPicPr>
                  <pic:blipFill>
                    <a:blip r:embed="rId7"/>
                    <a:stretch>
                      <a:fillRect/>
                    </a:stretch>
                  </pic:blipFill>
                  <pic:spPr>
                    <a:xfrm>
                      <a:off x="0" y="0"/>
                      <a:ext cx="4329430" cy="3355340"/>
                    </a:xfrm>
                    <a:prstGeom prst="rect">
                      <a:avLst/>
                    </a:prstGeom>
                  </pic:spPr>
                </pic:pic>
              </a:graphicData>
            </a:graphic>
          </wp:inline>
        </w:drawing>
      </w:r>
    </w:p>
    <w:p>
      <w:pPr>
        <w:ind w:firstLine="560" w:firstLineChars="200"/>
        <w:rPr>
          <w:rFonts w:ascii="仿宋" w:hAnsi="仿宋" w:eastAsia="仿宋" w:cs="仿宋"/>
          <w:sz w:val="28"/>
          <w:szCs w:val="36"/>
        </w:rPr>
      </w:pPr>
      <w:r>
        <w:rPr>
          <w:rFonts w:hint="eastAsia" w:ascii="仿宋" w:hAnsi="仿宋" w:eastAsia="仿宋" w:cs="仿宋"/>
          <w:sz w:val="28"/>
          <w:szCs w:val="36"/>
        </w:rPr>
        <w:t>（上图为生物学科组正在为张洁老师的录课进行评课）</w:t>
      </w:r>
    </w:p>
    <w:p>
      <w:pPr>
        <w:ind w:firstLine="560" w:firstLineChars="200"/>
        <w:rPr>
          <w:rFonts w:ascii="仿宋" w:hAnsi="仿宋" w:eastAsia="仿宋" w:cs="仿宋"/>
          <w:sz w:val="28"/>
          <w:szCs w:val="36"/>
        </w:rPr>
      </w:pPr>
      <w:r>
        <w:rPr>
          <w:rFonts w:hint="eastAsia" w:ascii="仿宋" w:hAnsi="仿宋" w:eastAsia="仿宋" w:cs="仿宋"/>
          <w:sz w:val="28"/>
          <w:szCs w:val="36"/>
        </w:rPr>
        <w:t>生物组马玲老师在评课表中写道：该课视频、情境选择恰当，导入巧妙，能启发学习求知的欲望和积极性，顺利展开探究式教学。给予的意见：可采用彩色卡纸等材料，让学生尝试改造重组教具。</w:t>
      </w:r>
    </w:p>
    <w:p>
      <w:pPr>
        <w:ind w:firstLine="560" w:firstLineChars="200"/>
        <w:rPr>
          <w:rFonts w:ascii="仿宋" w:hAnsi="仿宋" w:eastAsia="仿宋" w:cs="仿宋"/>
          <w:sz w:val="28"/>
          <w:szCs w:val="36"/>
        </w:rPr>
      </w:pPr>
      <w:r>
        <w:rPr>
          <w:rFonts w:ascii="仿宋" w:hAnsi="仿宋" w:eastAsia="仿宋" w:cs="仿宋"/>
          <w:sz w:val="28"/>
          <w:szCs w:val="36"/>
        </w:rPr>
        <w:drawing>
          <wp:inline distT="0" distB="0" distL="114300" distR="114300">
            <wp:extent cx="4407535" cy="3305810"/>
            <wp:effectExtent l="0" t="0" r="12065" b="8890"/>
            <wp:docPr id="5" name="图片 5" descr="QQ图片2021052809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10528091402"/>
                    <pic:cNvPicPr>
                      <a:picLocks noChangeAspect="1"/>
                    </pic:cNvPicPr>
                  </pic:nvPicPr>
                  <pic:blipFill>
                    <a:blip r:embed="rId8"/>
                    <a:stretch>
                      <a:fillRect/>
                    </a:stretch>
                  </pic:blipFill>
                  <pic:spPr>
                    <a:xfrm>
                      <a:off x="0" y="0"/>
                      <a:ext cx="4407535" cy="3305810"/>
                    </a:xfrm>
                    <a:prstGeom prst="rect">
                      <a:avLst/>
                    </a:prstGeom>
                  </pic:spPr>
                </pic:pic>
              </a:graphicData>
            </a:graphic>
          </wp:inline>
        </w:drawing>
      </w:r>
    </w:p>
    <w:p>
      <w:pPr>
        <w:ind w:firstLine="280" w:firstLineChars="100"/>
        <w:rPr>
          <w:rFonts w:ascii="仿宋" w:hAnsi="仿宋" w:eastAsia="仿宋" w:cs="仿宋"/>
          <w:sz w:val="28"/>
          <w:szCs w:val="36"/>
        </w:rPr>
      </w:pPr>
      <w:r>
        <w:rPr>
          <w:rFonts w:hint="eastAsia" w:ascii="仿宋" w:hAnsi="仿宋" w:eastAsia="仿宋" w:cs="仿宋"/>
          <w:sz w:val="28"/>
          <w:szCs w:val="36"/>
        </w:rPr>
        <w:t>（上图为化学学科组正在为朱斌老师的录课进行评课）</w:t>
      </w:r>
    </w:p>
    <w:p>
      <w:pPr>
        <w:ind w:firstLine="560" w:firstLineChars="200"/>
        <w:rPr>
          <w:rFonts w:ascii="仿宋" w:hAnsi="仿宋" w:eastAsia="仿宋" w:cs="仿宋"/>
          <w:sz w:val="28"/>
          <w:szCs w:val="36"/>
        </w:rPr>
      </w:pPr>
      <w:r>
        <w:rPr>
          <w:rFonts w:hint="eastAsia" w:ascii="仿宋" w:hAnsi="仿宋" w:eastAsia="仿宋" w:cs="仿宋"/>
          <w:sz w:val="28"/>
          <w:szCs w:val="36"/>
        </w:rPr>
        <w:t>化学组吴晓力老师在评课表中写道：该课在教学中体现了教目标与学生多组目标的综合，从简单的举例，到综合因素的分析，体现了课程的循序渐进。给予的意见：应对实验教学加大重视程度。</w:t>
      </w:r>
    </w:p>
    <w:p>
      <w:pPr>
        <w:ind w:firstLine="560" w:firstLineChars="200"/>
        <w:rPr>
          <w:rFonts w:ascii="仿宋" w:hAnsi="仿宋" w:eastAsia="仿宋" w:cs="仿宋"/>
          <w:sz w:val="28"/>
          <w:szCs w:val="36"/>
        </w:rPr>
      </w:pPr>
      <w:r>
        <w:rPr>
          <w:rFonts w:hint="eastAsia" w:ascii="仿宋" w:hAnsi="仿宋" w:eastAsia="仿宋" w:cs="仿宋"/>
          <w:sz w:val="28"/>
          <w:szCs w:val="36"/>
        </w:rPr>
        <w:drawing>
          <wp:inline distT="0" distB="0" distL="114300" distR="114300">
            <wp:extent cx="4500880" cy="2523490"/>
            <wp:effectExtent l="0" t="0" r="13970" b="10160"/>
            <wp:docPr id="6" name="图片 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3"/>
                    <pic:cNvPicPr>
                      <a:picLocks noChangeAspect="1"/>
                    </pic:cNvPicPr>
                  </pic:nvPicPr>
                  <pic:blipFill>
                    <a:blip r:embed="rId9"/>
                    <a:stretch>
                      <a:fillRect/>
                    </a:stretch>
                  </pic:blipFill>
                  <pic:spPr>
                    <a:xfrm>
                      <a:off x="0" y="0"/>
                      <a:ext cx="4500880" cy="2523490"/>
                    </a:xfrm>
                    <a:prstGeom prst="rect">
                      <a:avLst/>
                    </a:prstGeom>
                  </pic:spPr>
                </pic:pic>
              </a:graphicData>
            </a:graphic>
          </wp:inline>
        </w:drawing>
      </w:r>
    </w:p>
    <w:p>
      <w:pPr>
        <w:ind w:firstLine="560" w:firstLineChars="200"/>
        <w:rPr>
          <w:rFonts w:ascii="仿宋" w:hAnsi="仿宋" w:eastAsia="仿宋" w:cs="仿宋"/>
          <w:sz w:val="28"/>
          <w:szCs w:val="36"/>
        </w:rPr>
      </w:pPr>
      <w:r>
        <w:rPr>
          <w:rFonts w:hint="eastAsia" w:ascii="仿宋" w:hAnsi="仿宋" w:eastAsia="仿宋" w:cs="仿宋"/>
          <w:sz w:val="28"/>
          <w:szCs w:val="36"/>
        </w:rPr>
        <w:t>（上图为政治学科组正在为苏伶俐老师的录课进行评课）</w:t>
      </w:r>
    </w:p>
    <w:p>
      <w:pPr>
        <w:ind w:firstLine="560" w:firstLineChars="200"/>
        <w:rPr>
          <w:rFonts w:ascii="仿宋" w:hAnsi="仿宋" w:eastAsia="仿宋" w:cs="仿宋"/>
          <w:sz w:val="28"/>
          <w:szCs w:val="36"/>
        </w:rPr>
      </w:pPr>
      <w:r>
        <w:rPr>
          <w:rFonts w:hint="eastAsia" w:ascii="仿宋" w:hAnsi="仿宋" w:eastAsia="仿宋" w:cs="仿宋"/>
          <w:sz w:val="28"/>
          <w:szCs w:val="36"/>
        </w:rPr>
        <w:t>政治组罗清妹老师在评课表中写道：该课的教学目标符合课程标准要求，课堂活动多样，讲练结合，实效高。给予的意见：需要充分调动学生参与课堂的积极性。</w:t>
      </w:r>
    </w:p>
    <w:p>
      <w:pPr>
        <w:ind w:firstLine="560" w:firstLineChars="200"/>
        <w:rPr>
          <w:rFonts w:ascii="仿宋" w:hAnsi="仿宋" w:eastAsia="仿宋" w:cs="仿宋"/>
          <w:sz w:val="28"/>
          <w:szCs w:val="36"/>
        </w:rPr>
      </w:pPr>
      <w:r>
        <w:rPr>
          <w:rFonts w:ascii="仿宋" w:hAnsi="仿宋" w:eastAsia="仿宋" w:cs="仿宋"/>
          <w:sz w:val="28"/>
          <w:szCs w:val="36"/>
        </w:rPr>
        <w:drawing>
          <wp:inline distT="0" distB="0" distL="114300" distR="114300">
            <wp:extent cx="4479290" cy="2978785"/>
            <wp:effectExtent l="0" t="0" r="16510" b="12065"/>
            <wp:docPr id="7" name="图片 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
                    <pic:cNvPicPr>
                      <a:picLocks noChangeAspect="1"/>
                    </pic:cNvPicPr>
                  </pic:nvPicPr>
                  <pic:blipFill>
                    <a:blip r:embed="rId10"/>
                    <a:stretch>
                      <a:fillRect/>
                    </a:stretch>
                  </pic:blipFill>
                  <pic:spPr>
                    <a:xfrm>
                      <a:off x="0" y="0"/>
                      <a:ext cx="4479290" cy="2978785"/>
                    </a:xfrm>
                    <a:prstGeom prst="rect">
                      <a:avLst/>
                    </a:prstGeom>
                  </pic:spPr>
                </pic:pic>
              </a:graphicData>
            </a:graphic>
          </wp:inline>
        </w:drawing>
      </w:r>
    </w:p>
    <w:p>
      <w:pPr>
        <w:ind w:firstLine="560" w:firstLineChars="200"/>
        <w:rPr>
          <w:rFonts w:ascii="仿宋" w:hAnsi="仿宋" w:eastAsia="仿宋" w:cs="仿宋"/>
          <w:sz w:val="28"/>
          <w:szCs w:val="36"/>
        </w:rPr>
      </w:pPr>
      <w:r>
        <w:rPr>
          <w:rFonts w:hint="eastAsia" w:ascii="仿宋" w:hAnsi="仿宋" w:eastAsia="仿宋" w:cs="仿宋"/>
          <w:sz w:val="28"/>
          <w:szCs w:val="36"/>
        </w:rPr>
        <w:t>（上图为各学科教师的评课表）</w:t>
      </w:r>
    </w:p>
    <w:p>
      <w:pPr>
        <w:ind w:firstLine="560" w:firstLineChars="200"/>
        <w:rPr>
          <w:rFonts w:ascii="仿宋" w:hAnsi="仿宋" w:eastAsia="仿宋" w:cs="仿宋"/>
          <w:sz w:val="28"/>
          <w:szCs w:val="36"/>
        </w:rPr>
      </w:pPr>
      <w:r>
        <w:rPr>
          <w:rFonts w:hint="eastAsia" w:ascii="仿宋" w:hAnsi="仿宋" w:eastAsia="仿宋" w:cs="仿宋"/>
          <w:sz w:val="28"/>
          <w:szCs w:val="36"/>
        </w:rPr>
        <w:t>听课与评课在提升教师教学水平中起着不可忽视的作用。教师不仅要有准备、要有目的地开展听课、评课活动,更要学习一些方法技巧,从而在“新课程新教材”全面推进的过程中提升个人的教学素质,提高教学质量。此次评课活动，推动了各学科老师去听、去品、去悟，</w:t>
      </w:r>
    </w:p>
    <w:p>
      <w:pPr>
        <w:rPr>
          <w:rFonts w:ascii="仿宋" w:hAnsi="仿宋" w:eastAsia="仿宋" w:cs="仿宋"/>
          <w:sz w:val="28"/>
          <w:szCs w:val="36"/>
        </w:rPr>
      </w:pPr>
      <w:r>
        <w:rPr>
          <w:rFonts w:hint="eastAsia" w:ascii="仿宋" w:hAnsi="仿宋" w:eastAsia="仿宋" w:cs="仿宋"/>
          <w:sz w:val="28"/>
          <w:szCs w:val="36"/>
        </w:rPr>
        <w:t>而我们深知，评课只是课改的一个过程，不是一个蓝图，只希望通过我们的不懈努力，能让这个过程，更接近于这个蓝图。</w:t>
      </w:r>
    </w:p>
    <w:p>
      <w:pPr>
        <w:rPr>
          <w:rFonts w:ascii="仿宋" w:hAnsi="仿宋" w:eastAsia="仿宋" w:cs="仿宋"/>
          <w:sz w:val="28"/>
          <w:szCs w:val="36"/>
        </w:rPr>
      </w:pPr>
      <w:r>
        <w:rPr>
          <w:rFonts w:hint="eastAsia" w:ascii="仿宋" w:hAnsi="仿宋" w:eastAsia="仿宋" w:cs="仿宋"/>
          <w:sz w:val="28"/>
          <w:szCs w:val="36"/>
        </w:rPr>
        <w:t xml:space="preserve">                                                </w:t>
      </w:r>
    </w:p>
    <w:p>
      <w:pPr>
        <w:rPr>
          <w:b/>
          <w:bCs/>
          <w:sz w:val="24"/>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06F1E3"/>
    <w:multiLevelType w:val="singleLevel"/>
    <w:tmpl w:val="D806F1E3"/>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716492"/>
    <w:rsid w:val="009B6BEB"/>
    <w:rsid w:val="00A07C5F"/>
    <w:rsid w:val="00A65625"/>
    <w:rsid w:val="065F7449"/>
    <w:rsid w:val="07841B96"/>
    <w:rsid w:val="0C4643BB"/>
    <w:rsid w:val="144A384C"/>
    <w:rsid w:val="1B3972F2"/>
    <w:rsid w:val="1F4C4F68"/>
    <w:rsid w:val="21AC73B0"/>
    <w:rsid w:val="26A208CE"/>
    <w:rsid w:val="30CE2818"/>
    <w:rsid w:val="32112A61"/>
    <w:rsid w:val="3A642178"/>
    <w:rsid w:val="3DDE3480"/>
    <w:rsid w:val="3DEE30CC"/>
    <w:rsid w:val="41CD6BE9"/>
    <w:rsid w:val="51CB6167"/>
    <w:rsid w:val="523335B8"/>
    <w:rsid w:val="56716492"/>
    <w:rsid w:val="56D340CB"/>
    <w:rsid w:val="603D70A9"/>
    <w:rsid w:val="617834D5"/>
    <w:rsid w:val="654569BD"/>
    <w:rsid w:val="685F267B"/>
    <w:rsid w:val="695B19A6"/>
    <w:rsid w:val="7A655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511</Words>
  <Characters>2918</Characters>
  <Lines>24</Lines>
  <Paragraphs>6</Paragraphs>
  <TotalTime>22</TotalTime>
  <ScaleCrop>false</ScaleCrop>
  <LinksUpToDate>false</LinksUpToDate>
  <CharactersWithSpaces>3423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2021-05-17T06:36:00Z</dcterms:created>
  <dc:creator>尼泊尔咚咚</dc:creator>
  <cp:lastModifiedBy>云之雨下</cp:lastModifiedBy>
  <dcterms:modified xsi:type="dcterms:W3CDTF">2021-07-08T00:39:19Z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18EA285AC47A441CABE888525B392E87</vt:lpwstr>
  </property>
</Properties>
</file>