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附件1 </w:t>
      </w:r>
      <w:bookmarkStart w:id="0" w:name="_GoBack"/>
      <w:bookmarkEnd w:id="0"/>
      <w:r>
        <w:rPr>
          <w:rFonts w:hint="eastAsia" w:ascii="仿宋" w:hAnsi="仿宋" w:eastAsia="仿宋" w:cs="仿宋"/>
          <w:b w:val="0"/>
          <w:bCs w:val="0"/>
          <w:kern w:val="2"/>
          <w:sz w:val="30"/>
          <w:szCs w:val="30"/>
          <w:lang w:val="en-US" w:eastAsia="zh-CN" w:bidi="ar-SA"/>
        </w:rPr>
        <w:t>货物需求</w:t>
      </w:r>
    </w:p>
    <w:tbl>
      <w:tblPr>
        <w:tblStyle w:val="5"/>
        <w:tblW w:w="97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
        <w:gridCol w:w="1142"/>
        <w:gridCol w:w="6258"/>
        <w:gridCol w:w="825"/>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序号</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名称</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性能参数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数量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六线双防区控制杆（含底座）</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1、★多种报警监测：钢索拉紧、松弛、断开、拆卸、失（断）电等均能报警。（提供公安部有效检测报告复印件或扫描件）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2、★应具有通讯的接口，能与计算机进行直接通讯。（提供公安部有效检测报告复印件或扫描件）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3、★张力索的警戒张力值应在100N~450N之间。（提供公安部有效检测报告复印件或扫描件）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4、★应能根据外界环境、气候等变化自动调整警戒张力值。（提供公安部有效检测报告复印件或扫描件）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5、★应具有自检、自诊断能力、且具有设备故障报警功能。（提供公安部有效检测报告复印件或扫描件）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6、★阻燃试验：非金属外壳经火焰燃烧5次，每次5s，不应烧着起火。（提供公安部有效检测报告复印件或扫描件）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7、★可采用AC220V或DC12V、24V方式供电（提供公安部有效检测报告复印件或扫描件）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8、★报警触发响应时间：1.5s。（提供公安部有效检测报告复印件或扫描件）</w:t>
            </w:r>
          </w:p>
          <w:p>
            <w:pPr>
              <w:keepNext w:val="0"/>
              <w:keepLines w:val="0"/>
              <w:widowControl/>
              <w:suppressLineNumbers w:val="0"/>
              <w:jc w:val="left"/>
              <w:textAlignment w:val="center"/>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9、★张力探测模块可承受的最大张力应不少于1000N。（提供公安部有效检测报告复印件或扫描件）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10、工作电流：≤125mA</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11、工作电压：AC/DC12~24V</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12、主机防区：单/双</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13、防区线制：4线/6线（可定制）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14、报警输出：485总线 开关量信号</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15、环境温度：-10℃~+45℃ </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16、机箱材质：铝合金</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17、外形尺寸：670mm*80mm*50mm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张力围栏电源</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国内电源知名品牌，国家CCC强制性认证、国际CE认证，输入AC220V,输出直流24V2A</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高压避雷器</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氧化锌、复合材料，一个防区配一个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25</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中间支撑杆</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铝合金材质，有防锈和耐腐蚀措施,坚固、美观，适应于中间过线支撑处安装</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终端受力杆/</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转向杆</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铝合金材质，有防锈和耐腐蚀措施,坚固、美观，适应于终端受力处或转角处安装</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35</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铝合金万向底座</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铝合金材质，杆子通用底座，高强度型材加工，180°范围内梯度可调，壁厚3mm（底部4mm）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320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束线器</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铝合金材质，接线处固定，方便施工，经济实用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转向滑轮</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铝合金+滑轮套件,高度可调节，直接固定于终端杆,适用于转角处90度安装面</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张力收紧器</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不锈钢SUS304+精密单向组件，精密紧线，无极变速，解决紧线器倒转</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张力弹簧</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优质不锈钢SUS304材质，有防锈和耐腐蚀措施</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多股张力线</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优质不锈钢SUS316材质，有防锈和耐腐蚀措施Φ1.2mm（符合国标）永不生锈</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6500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警示牌</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高强度雪弗板材料，尺寸不小于200×100，双面夜光型</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接地线</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不小于10平方铝导线，长度不小于3米，含双头铜接头。</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25</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14</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接地桩</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角铁:不小于36*36*1000MM</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25</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室外警灯</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室外型LED警灯，DC12V供电，</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报警声音大于100dB</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警灯支架</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室外LED警灯支架</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17</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单防区网络地址模块</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1、模块自带1个常闭防区。</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2、模块通过网络接口可以实现上报监控中心、报警主机（网络通讯主机）、软件平台。</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3、通过监控中心、报警主机（网络通讯主机）、软件平台控制模块布撤防。</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18</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双防区网络地址模块</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1、模块自带2个防区。</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2、模块自动1路继电器输出（有源/无源可选）。</w:t>
            </w:r>
          </w:p>
          <w:p>
            <w:pPr>
              <w:keepNext w:val="0"/>
              <w:keepLines w:val="0"/>
              <w:widowControl/>
              <w:suppressLineNumbers w:val="0"/>
              <w:jc w:val="both"/>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3、模块输出可与自身防区联动也可以中心控制。</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4、模块通过网络接口可以实现上报2个中心，5、支持上报云服务器。</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6、通过中心控制布撤防。</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7、电源： DC 12～24V或标准POE供电</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8、外观尺寸：不小于86*140*33mm</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9、工作电流：60mA-80mA</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10、网络接口：RJ45  10/100M自适应</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11、工作温度：-20℃～70℃</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12、辅助输出：12V/500mA</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网络报警主机</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1、主机可支持不少于128个设备防区。</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2、可最多接入8个键盘，独立操作，LCD显示。</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3、主机本身自带不小于8个有线防区。</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4、可外扩IP模块、GPRS模块，通过IP实现与中心软件计算机连接。</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5、通过IP模块、GPRS模块实现和云服务报警系统连接。</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6、外扩电话模块支持不小于3组中心电话号码报警、8组用户号码报警。</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7、防区名称汉字任意更改，电脑配置，每个防区最多支持7个汉字。</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8、本机支持不小于17组密码。包括：不小于1组安装密码、不小于16组用户密码。</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9、通过键盘密码、遥控器、中心软件对键盘进行布撤防。</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10、分别可以存储不小于1000条的报警和操作纪录，掉电保存。</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11、有20秒的电话报警语音，可以自己选择语音文件写入。</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12、可以通过电脑进行编程和配置。</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13、可以通过485扩展板接单防区地址模块（限K01B）</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14、工作电压：DC12-27V</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15、工作电流：静态耗电300mA，报警状态850mA</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16、警号输出:12V 1A</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17、电脑连接：网线直连</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18、环境温度：-10℃~+50℃</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19、环境湿度：40%-70%RH</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20、机箱材质：铁壳</w:t>
            </w:r>
          </w:p>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21、外观尺寸:335 x 275 x 80mm</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液晶控制键盘</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配套</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声光警号</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76885" cy="172085"/>
                  <wp:effectExtent l="0" t="0" r="0" b="0"/>
                  <wp:wrapNone/>
                  <wp:docPr id="7" name="Text_Box_21"/>
                  <wp:cNvGraphicFramePr/>
                  <a:graphic xmlns:a="http://schemas.openxmlformats.org/drawingml/2006/main">
                    <a:graphicData uri="http://schemas.openxmlformats.org/drawingml/2006/picture">
                      <pic:pic xmlns:pic="http://schemas.openxmlformats.org/drawingml/2006/picture">
                        <pic:nvPicPr>
                          <pic:cNvPr id="7" name="Text_Box_2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885" cy="172085"/>
                  <wp:effectExtent l="0" t="0" r="0" b="0"/>
                  <wp:wrapNone/>
                  <wp:docPr id="8" name="Text_Box_23"/>
                  <wp:cNvGraphicFramePr/>
                  <a:graphic xmlns:a="http://schemas.openxmlformats.org/drawingml/2006/main">
                    <a:graphicData uri="http://schemas.openxmlformats.org/drawingml/2006/picture">
                      <pic:pic xmlns:pic="http://schemas.openxmlformats.org/drawingml/2006/picture">
                        <pic:nvPicPr>
                          <pic:cNvPr id="8" name="Text_Box_2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76885" cy="172085"/>
                  <wp:effectExtent l="0" t="0" r="0" b="0"/>
                  <wp:wrapNone/>
                  <wp:docPr id="6" name="Text_Box_27"/>
                  <wp:cNvGraphicFramePr/>
                  <a:graphic xmlns:a="http://schemas.openxmlformats.org/drawingml/2006/main">
                    <a:graphicData uri="http://schemas.openxmlformats.org/drawingml/2006/picture">
                      <pic:pic xmlns:pic="http://schemas.openxmlformats.org/drawingml/2006/picture">
                        <pic:nvPicPr>
                          <pic:cNvPr id="6" name="Text_Box_27"/>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476885" cy="172085"/>
                  <wp:effectExtent l="0" t="0" r="0" b="0"/>
                  <wp:wrapNone/>
                  <wp:docPr id="4" name="Text_Box_27_SpCnt_1"/>
                  <wp:cNvGraphicFramePr/>
                  <a:graphic xmlns:a="http://schemas.openxmlformats.org/drawingml/2006/main">
                    <a:graphicData uri="http://schemas.openxmlformats.org/drawingml/2006/picture">
                      <pic:pic xmlns:pic="http://schemas.openxmlformats.org/drawingml/2006/picture">
                        <pic:nvPicPr>
                          <pic:cNvPr id="4" name="Text_Box_27_SpCnt_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476885" cy="172085"/>
                  <wp:effectExtent l="0" t="0" r="0" b="0"/>
                  <wp:wrapNone/>
                  <wp:docPr id="9" name="Text_Box_27_SpCnt_2"/>
                  <wp:cNvGraphicFramePr/>
                  <a:graphic xmlns:a="http://schemas.openxmlformats.org/drawingml/2006/main">
                    <a:graphicData uri="http://schemas.openxmlformats.org/drawingml/2006/picture">
                      <pic:pic xmlns:pic="http://schemas.openxmlformats.org/drawingml/2006/picture">
                        <pic:nvPicPr>
                          <pic:cNvPr id="9" name="Text_Box_27_SpCnt_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76885" cy="172085"/>
                  <wp:effectExtent l="0" t="0" r="0" b="0"/>
                  <wp:wrapNone/>
                  <wp:docPr id="5" name="Text_Box_26"/>
                  <wp:cNvGraphicFramePr/>
                  <a:graphic xmlns:a="http://schemas.openxmlformats.org/drawingml/2006/main">
                    <a:graphicData uri="http://schemas.openxmlformats.org/drawingml/2006/picture">
                      <pic:pic xmlns:pic="http://schemas.openxmlformats.org/drawingml/2006/picture">
                        <pic:nvPicPr>
                          <pic:cNvPr id="5" name="Text_Box_26"/>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476885" cy="172085"/>
                  <wp:effectExtent l="0" t="0" r="0" b="0"/>
                  <wp:wrapNone/>
                  <wp:docPr id="1" name="Text_Box_28"/>
                  <wp:cNvGraphicFramePr/>
                  <a:graphic xmlns:a="http://schemas.openxmlformats.org/drawingml/2006/main">
                    <a:graphicData uri="http://schemas.openxmlformats.org/drawingml/2006/picture">
                      <pic:pic xmlns:pic="http://schemas.openxmlformats.org/drawingml/2006/picture">
                        <pic:nvPicPr>
                          <pic:cNvPr id="1" name="Text_Box_28"/>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476885" cy="172085"/>
                  <wp:effectExtent l="0" t="0" r="0" b="0"/>
                  <wp:wrapNone/>
                  <wp:docPr id="2" name="Text_Box_25"/>
                  <wp:cNvGraphicFramePr/>
                  <a:graphic xmlns:a="http://schemas.openxmlformats.org/drawingml/2006/main">
                    <a:graphicData uri="http://schemas.openxmlformats.org/drawingml/2006/picture">
                      <pic:pic xmlns:pic="http://schemas.openxmlformats.org/drawingml/2006/picture">
                        <pic:nvPicPr>
                          <pic:cNvPr id="2" name="Text_Box_25"/>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476885" cy="172085"/>
                  <wp:effectExtent l="0" t="0" r="0" b="0"/>
                  <wp:wrapNone/>
                  <wp:docPr id="3" name="Text_Box_24"/>
                  <wp:cNvGraphicFramePr/>
                  <a:graphic xmlns:a="http://schemas.openxmlformats.org/drawingml/2006/main">
                    <a:graphicData uri="http://schemas.openxmlformats.org/drawingml/2006/picture">
                      <pic:pic xmlns:pic="http://schemas.openxmlformats.org/drawingml/2006/picture">
                        <pic:nvPicPr>
                          <pic:cNvPr id="3" name="Text_Box_24"/>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476885" cy="172085"/>
                  <wp:effectExtent l="0" t="0" r="0" b="0"/>
                  <wp:wrapNone/>
                  <wp:docPr id="31" name="Text_Box_23_SpCnt_1"/>
                  <wp:cNvGraphicFramePr/>
                  <a:graphic xmlns:a="http://schemas.openxmlformats.org/drawingml/2006/main">
                    <a:graphicData uri="http://schemas.openxmlformats.org/drawingml/2006/picture">
                      <pic:pic xmlns:pic="http://schemas.openxmlformats.org/drawingml/2006/picture">
                        <pic:nvPicPr>
                          <pic:cNvPr id="31" name="Text_Box_23_SpCnt_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476885" cy="172085"/>
                  <wp:effectExtent l="0" t="0" r="0" b="0"/>
                  <wp:wrapNone/>
                  <wp:docPr id="32" name="Text_Box_22"/>
                  <wp:cNvGraphicFramePr/>
                  <a:graphic xmlns:a="http://schemas.openxmlformats.org/drawingml/2006/main">
                    <a:graphicData uri="http://schemas.openxmlformats.org/drawingml/2006/picture">
                      <pic:pic xmlns:pic="http://schemas.openxmlformats.org/drawingml/2006/picture">
                        <pic:nvPicPr>
                          <pic:cNvPr id="32" name="Text_Box_2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476885" cy="172085"/>
                  <wp:effectExtent l="0" t="0" r="0" b="0"/>
                  <wp:wrapNone/>
                  <wp:docPr id="30" name="Text_Box_21_SpCnt_1"/>
                  <wp:cNvGraphicFramePr/>
                  <a:graphic xmlns:a="http://schemas.openxmlformats.org/drawingml/2006/main">
                    <a:graphicData uri="http://schemas.openxmlformats.org/drawingml/2006/picture">
                      <pic:pic xmlns:pic="http://schemas.openxmlformats.org/drawingml/2006/picture">
                        <pic:nvPicPr>
                          <pic:cNvPr id="30" name="Text_Box_21_SpCnt_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476885" cy="172085"/>
                  <wp:effectExtent l="0" t="0" r="0" b="0"/>
                  <wp:wrapNone/>
                  <wp:docPr id="17" name="Text_Box_28_SpCnt_1"/>
                  <wp:cNvGraphicFramePr/>
                  <a:graphic xmlns:a="http://schemas.openxmlformats.org/drawingml/2006/main">
                    <a:graphicData uri="http://schemas.openxmlformats.org/drawingml/2006/picture">
                      <pic:pic xmlns:pic="http://schemas.openxmlformats.org/drawingml/2006/picture">
                        <pic:nvPicPr>
                          <pic:cNvPr id="17" name="Text_Box_28_SpCnt_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476885" cy="172085"/>
                  <wp:effectExtent l="0" t="0" r="0" b="0"/>
                  <wp:wrapNone/>
                  <wp:docPr id="18" name="Text_Box_27_SpCnt_3"/>
                  <wp:cNvGraphicFramePr/>
                  <a:graphic xmlns:a="http://schemas.openxmlformats.org/drawingml/2006/main">
                    <a:graphicData uri="http://schemas.openxmlformats.org/drawingml/2006/picture">
                      <pic:pic xmlns:pic="http://schemas.openxmlformats.org/drawingml/2006/picture">
                        <pic:nvPicPr>
                          <pic:cNvPr id="18" name="Text_Box_27_SpCnt_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476885" cy="172085"/>
                  <wp:effectExtent l="0" t="0" r="0" b="0"/>
                  <wp:wrapNone/>
                  <wp:docPr id="13" name="Text_Box_26_SpCnt_1"/>
                  <wp:cNvGraphicFramePr/>
                  <a:graphic xmlns:a="http://schemas.openxmlformats.org/drawingml/2006/main">
                    <a:graphicData uri="http://schemas.openxmlformats.org/drawingml/2006/picture">
                      <pic:pic xmlns:pic="http://schemas.openxmlformats.org/drawingml/2006/picture">
                        <pic:nvPicPr>
                          <pic:cNvPr id="13" name="Text_Box_26_SpCnt_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476885" cy="172085"/>
                  <wp:effectExtent l="0" t="0" r="0" b="0"/>
                  <wp:wrapNone/>
                  <wp:docPr id="15" name="Text_Box_25_SpCnt_1"/>
                  <wp:cNvGraphicFramePr/>
                  <a:graphic xmlns:a="http://schemas.openxmlformats.org/drawingml/2006/main">
                    <a:graphicData uri="http://schemas.openxmlformats.org/drawingml/2006/picture">
                      <pic:pic xmlns:pic="http://schemas.openxmlformats.org/drawingml/2006/picture">
                        <pic:nvPicPr>
                          <pic:cNvPr id="15" name="Text_Box_25_SpCnt_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476885" cy="172085"/>
                  <wp:effectExtent l="0" t="0" r="0" b="0"/>
                  <wp:wrapNone/>
                  <wp:docPr id="14" name="Text_Box_24_SpCnt_1"/>
                  <wp:cNvGraphicFramePr/>
                  <a:graphic xmlns:a="http://schemas.openxmlformats.org/drawingml/2006/main">
                    <a:graphicData uri="http://schemas.openxmlformats.org/drawingml/2006/picture">
                      <pic:pic xmlns:pic="http://schemas.openxmlformats.org/drawingml/2006/picture">
                        <pic:nvPicPr>
                          <pic:cNvPr id="14" name="Text_Box_24_SpCnt_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476885" cy="172085"/>
                  <wp:effectExtent l="0" t="0" r="0" b="0"/>
                  <wp:wrapNone/>
                  <wp:docPr id="16" name="Text_Box_23_SpCnt_2"/>
                  <wp:cNvGraphicFramePr/>
                  <a:graphic xmlns:a="http://schemas.openxmlformats.org/drawingml/2006/main">
                    <a:graphicData uri="http://schemas.openxmlformats.org/drawingml/2006/picture">
                      <pic:pic xmlns:pic="http://schemas.openxmlformats.org/drawingml/2006/picture">
                        <pic:nvPicPr>
                          <pic:cNvPr id="16" name="Text_Box_23_SpCnt_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476885" cy="172085"/>
                  <wp:effectExtent l="0" t="0" r="0" b="0"/>
                  <wp:wrapNone/>
                  <wp:docPr id="19" name="Text_Box_22_SpCnt_1"/>
                  <wp:cNvGraphicFramePr/>
                  <a:graphic xmlns:a="http://schemas.openxmlformats.org/drawingml/2006/main">
                    <a:graphicData uri="http://schemas.openxmlformats.org/drawingml/2006/picture">
                      <pic:pic xmlns:pic="http://schemas.openxmlformats.org/drawingml/2006/picture">
                        <pic:nvPicPr>
                          <pic:cNvPr id="19" name="Text_Box_22_SpCnt_1"/>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476885" cy="172085"/>
                  <wp:effectExtent l="0" t="0" r="0" b="0"/>
                  <wp:wrapNone/>
                  <wp:docPr id="10" name="Text_Box_21_SpCnt_2"/>
                  <wp:cNvGraphicFramePr/>
                  <a:graphic xmlns:a="http://schemas.openxmlformats.org/drawingml/2006/main">
                    <a:graphicData uri="http://schemas.openxmlformats.org/drawingml/2006/picture">
                      <pic:pic xmlns:pic="http://schemas.openxmlformats.org/drawingml/2006/picture">
                        <pic:nvPicPr>
                          <pic:cNvPr id="10" name="Text_Box_21_SpCnt_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476885" cy="172085"/>
                  <wp:effectExtent l="0" t="0" r="0" b="0"/>
                  <wp:wrapNone/>
                  <wp:docPr id="11" name="Text_Box_26_SpCnt_2"/>
                  <wp:cNvGraphicFramePr/>
                  <a:graphic xmlns:a="http://schemas.openxmlformats.org/drawingml/2006/main">
                    <a:graphicData uri="http://schemas.openxmlformats.org/drawingml/2006/picture">
                      <pic:pic xmlns:pic="http://schemas.openxmlformats.org/drawingml/2006/picture">
                        <pic:nvPicPr>
                          <pic:cNvPr id="11" name="Text_Box_26_SpCnt_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476885" cy="172085"/>
                  <wp:effectExtent l="0" t="0" r="0" b="0"/>
                  <wp:wrapNone/>
                  <wp:docPr id="12" name="Text_Box_28_SpCnt_2"/>
                  <wp:cNvGraphicFramePr/>
                  <a:graphic xmlns:a="http://schemas.openxmlformats.org/drawingml/2006/main">
                    <a:graphicData uri="http://schemas.openxmlformats.org/drawingml/2006/picture">
                      <pic:pic xmlns:pic="http://schemas.openxmlformats.org/drawingml/2006/picture">
                        <pic:nvPicPr>
                          <pic:cNvPr id="12" name="Text_Box_28_SpCnt_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476885" cy="172085"/>
                  <wp:effectExtent l="0" t="0" r="0" b="0"/>
                  <wp:wrapNone/>
                  <wp:docPr id="25" name="Text_Box_25_SpCnt_2"/>
                  <wp:cNvGraphicFramePr/>
                  <a:graphic xmlns:a="http://schemas.openxmlformats.org/drawingml/2006/main">
                    <a:graphicData uri="http://schemas.openxmlformats.org/drawingml/2006/picture">
                      <pic:pic xmlns:pic="http://schemas.openxmlformats.org/drawingml/2006/picture">
                        <pic:nvPicPr>
                          <pic:cNvPr id="25" name="Text_Box_25_SpCnt_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476885" cy="172085"/>
                  <wp:effectExtent l="0" t="0" r="0" b="0"/>
                  <wp:wrapNone/>
                  <wp:docPr id="24" name="Text_Box_24_SpCnt_2"/>
                  <wp:cNvGraphicFramePr/>
                  <a:graphic xmlns:a="http://schemas.openxmlformats.org/drawingml/2006/main">
                    <a:graphicData uri="http://schemas.openxmlformats.org/drawingml/2006/picture">
                      <pic:pic xmlns:pic="http://schemas.openxmlformats.org/drawingml/2006/picture">
                        <pic:nvPicPr>
                          <pic:cNvPr id="24" name="Text_Box_24_SpCnt_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476885" cy="172085"/>
                  <wp:effectExtent l="0" t="0" r="0" b="0"/>
                  <wp:wrapNone/>
                  <wp:docPr id="22" name="Text_Box_23_SpCnt_3"/>
                  <wp:cNvGraphicFramePr/>
                  <a:graphic xmlns:a="http://schemas.openxmlformats.org/drawingml/2006/main">
                    <a:graphicData uri="http://schemas.openxmlformats.org/drawingml/2006/picture">
                      <pic:pic xmlns:pic="http://schemas.openxmlformats.org/drawingml/2006/picture">
                        <pic:nvPicPr>
                          <pic:cNvPr id="22" name="Text_Box_23_SpCnt_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476885" cy="172085"/>
                  <wp:effectExtent l="0" t="0" r="0" b="0"/>
                  <wp:wrapNone/>
                  <wp:docPr id="29" name="Text_Box_22_SpCnt_2"/>
                  <wp:cNvGraphicFramePr/>
                  <a:graphic xmlns:a="http://schemas.openxmlformats.org/drawingml/2006/main">
                    <a:graphicData uri="http://schemas.openxmlformats.org/drawingml/2006/picture">
                      <pic:pic xmlns:pic="http://schemas.openxmlformats.org/drawingml/2006/picture">
                        <pic:nvPicPr>
                          <pic:cNvPr id="29" name="Text_Box_22_SpCnt_2"/>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476885" cy="172085"/>
                  <wp:effectExtent l="0" t="0" r="0" b="0"/>
                  <wp:wrapNone/>
                  <wp:docPr id="21" name="Text_Box_21_SpCnt_3"/>
                  <wp:cNvGraphicFramePr/>
                  <a:graphic xmlns:a="http://schemas.openxmlformats.org/drawingml/2006/main">
                    <a:graphicData uri="http://schemas.openxmlformats.org/drawingml/2006/picture">
                      <pic:pic xmlns:pic="http://schemas.openxmlformats.org/drawingml/2006/picture">
                        <pic:nvPicPr>
                          <pic:cNvPr id="21" name="Text_Box_21_SpCnt_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476885" cy="172085"/>
                  <wp:effectExtent l="0" t="0" r="0" b="0"/>
                  <wp:wrapNone/>
                  <wp:docPr id="20" name="Text_Box_26_SpCnt_3"/>
                  <wp:cNvGraphicFramePr/>
                  <a:graphic xmlns:a="http://schemas.openxmlformats.org/drawingml/2006/main">
                    <a:graphicData uri="http://schemas.openxmlformats.org/drawingml/2006/picture">
                      <pic:pic xmlns:pic="http://schemas.openxmlformats.org/drawingml/2006/picture">
                        <pic:nvPicPr>
                          <pic:cNvPr id="20" name="Text_Box_26_SpCnt_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476885" cy="172085"/>
                  <wp:effectExtent l="0" t="0" r="0" b="0"/>
                  <wp:wrapNone/>
                  <wp:docPr id="27" name="Text_Box_28_SpCnt_3"/>
                  <wp:cNvGraphicFramePr/>
                  <a:graphic xmlns:a="http://schemas.openxmlformats.org/drawingml/2006/main">
                    <a:graphicData uri="http://schemas.openxmlformats.org/drawingml/2006/picture">
                      <pic:pic xmlns:pic="http://schemas.openxmlformats.org/drawingml/2006/picture">
                        <pic:nvPicPr>
                          <pic:cNvPr id="27" name="Text_Box_28_SpCnt_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476885" cy="172085"/>
                  <wp:effectExtent l="0" t="0" r="0" b="0"/>
                  <wp:wrapNone/>
                  <wp:docPr id="23" name="Text_Box_25_SpCnt_3"/>
                  <wp:cNvGraphicFramePr/>
                  <a:graphic xmlns:a="http://schemas.openxmlformats.org/drawingml/2006/main">
                    <a:graphicData uri="http://schemas.openxmlformats.org/drawingml/2006/picture">
                      <pic:pic xmlns:pic="http://schemas.openxmlformats.org/drawingml/2006/picture">
                        <pic:nvPicPr>
                          <pic:cNvPr id="23" name="Text_Box_25_SpCnt_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476885" cy="172085"/>
                  <wp:effectExtent l="0" t="0" r="0" b="0"/>
                  <wp:wrapNone/>
                  <wp:docPr id="28" name="Text_Box_22_SpCnt_3"/>
                  <wp:cNvGraphicFramePr/>
                  <a:graphic xmlns:a="http://schemas.openxmlformats.org/drawingml/2006/main">
                    <a:graphicData uri="http://schemas.openxmlformats.org/drawingml/2006/picture">
                      <pic:pic xmlns:pic="http://schemas.openxmlformats.org/drawingml/2006/picture">
                        <pic:nvPicPr>
                          <pic:cNvPr id="28" name="Text_Box_22_SpCnt_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476885" cy="172085"/>
                  <wp:effectExtent l="0" t="0" r="0" b="0"/>
                  <wp:wrapNone/>
                  <wp:docPr id="26" name="Text_Box_24_SpCnt_3"/>
                  <wp:cNvGraphicFramePr/>
                  <a:graphic xmlns:a="http://schemas.openxmlformats.org/drawingml/2006/main">
                    <a:graphicData uri="http://schemas.openxmlformats.org/drawingml/2006/picture">
                      <pic:pic xmlns:pic="http://schemas.openxmlformats.org/drawingml/2006/picture">
                        <pic:nvPicPr>
                          <pic:cNvPr id="26" name="Text_Box_24_SpCnt_3"/>
                          <pic:cNvPicPr/>
                        </pic:nvPicPr>
                        <pic:blipFill>
                          <a:blip r:embed="rId4"/>
                          <a:stretch>
                            <a:fillRect/>
                          </a:stretch>
                        </pic:blipFill>
                        <pic:spPr>
                          <a:xfrm>
                            <a:off x="0" y="0"/>
                            <a:ext cx="476885" cy="172085"/>
                          </a:xfrm>
                          <a:prstGeom prst="rect">
                            <a:avLst/>
                          </a:prstGeom>
                          <a:noFill/>
                          <a:ln>
                            <a:noFill/>
                          </a:ln>
                        </pic:spPr>
                      </pic:pic>
                    </a:graphicData>
                  </a:graphic>
                </wp:anchor>
              </w:drawing>
            </w:r>
            <w:r>
              <w:rPr>
                <w:rFonts w:hint="eastAsia" w:ascii="仿宋" w:hAnsi="仿宋" w:eastAsia="仿宋" w:cs="仿宋"/>
                <w:b w:val="0"/>
                <w:bCs w:val="0"/>
                <w:kern w:val="2"/>
                <w:sz w:val="30"/>
                <w:szCs w:val="30"/>
                <w:lang w:val="en-US" w:eastAsia="zh-CN" w:bidi="ar-SA"/>
              </w:rPr>
              <w:t>用于报警中心报警，</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报警声音≥110dB</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22</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220v电源</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定制</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23</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24口汇聚交换机</w:t>
            </w:r>
          </w:p>
        </w:tc>
        <w:tc>
          <w:tcPr>
            <w:tcW w:w="625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1.固化千兆电口≥24个，千兆SFP光口≥4个；Console口≥1个；</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2.支持全线速转发，交换容量≥336Gbps/3.36Tbps，包转发率≥108Mpps/126Mpps；</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3.支持自动化拓扑生成，设备上线后平台自动生成网络拓扑，支持在拓扑上进行设备配置；</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4.★支持堆叠虚拟化及M-LAG技术组网，要求配对的设备有独立的控制平面，且能够通过独立图形化界面进行配置管理（提供公安部有效检测报告复印件或扫描件）；</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5.支持设备虚拟化功能，能够将多台物理设备虚拟成1台逻辑设备，同时增加端口密度和带宽，充分发挥设备性能；</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6.支持根据终端类型实现终端的准入，对非指定类型的终端接入，通过短信、手机APP等告警方式推送，并加入黑名单;</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7.★支持以日历图形式，展示每天及每周交换机活跃状态、流量状态、系统资源状态、接口状态、芯片资源、网络状态、泛洪报文分析和报文数量分析（提供公安部有效检测报告复印件或扫描件）；</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8.支持终端可视化管理，多维度管控终端接入方式、接入终端类型，实时显示终端接入后的行为变化，可实现终端资产统计；</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9.支特从不安全终端数、终端类型异常、终端位置异常、终端地址异常等维度查看接入终端安全事件，如终端MAC地址、终端类型、最近接入端口、安全发生次数、最近发生时间等</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资质要求：</w:t>
            </w:r>
          </w:p>
          <w:p>
            <w:pPr>
              <w:keepNext w:val="0"/>
              <w:keepLines w:val="0"/>
              <w:widowControl/>
              <w:suppressLineNumbers w:val="0"/>
              <w:jc w:val="center"/>
              <w:textAlignment w:val="top"/>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1.★投标文件中提供产品厂商的交换机管理平台软件著作权证书复印件加以证明；</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24</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防护箱</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不小于300*400*180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25</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光纤收发器</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定制</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26</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电源线</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RVV2*1.5</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10000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27</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光纤</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8芯单模</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2500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28</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网线</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1.产品结构:非屏蔽单股线，铜芯材质:优质无氧铜，芯线外被:HDPE，外护套PVC</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2.通过ANSI/TIA/EIA568C.2250MHZ带宽测试要求；</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3.适当的外径，安装时不易扭绞和卡住；</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4.护套是PVC;颜色可供多种选择；</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5.提供线缆长度标记，减少浪费；</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6.具有十字PE骨架，保证传输性能；</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7.直流电阻≤9.5Ω/100m；</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8.特性阻抗100±15Ω；</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9.绝缘电阻≧5000MΩ/km；</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10.线对直流电阻不平衡≤2.5%；</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11.工作电容≤5.6nF/100m；</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12.电缆对数:4对；</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13.导体材料:无氧圆铜（纯度大于99.99%）；</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14.线规:23AWG0.57mm；</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15.电缆外径:≤6.1mm；</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16.绝缘材料:HDPE（实心聚烯烃）；</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17.★需满足安全标准，要求综合布线厂家提供信息产业数据通信产品质量监督检验中心等检测机构出具的六类非屏蔽线缆的燃烧性能检测报告，依据为:GB/T18380.22-2008《电缆和光缆在火焰条件下的燃烧试验，第22部分:单根绝缘细电线电缆火焰垂直蔓延试验，扩散型火焰试验方法》检测报告中需体现检测依据以及是否通过检测的结论（投标文件中提供具有CMA或CNAS标识的第三方检测报告扫描件加以证明以及检测机构检测报告官网截图）；</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18.★为保证产品信号传输稳定，响应文件中提供第三方检测机构出具的具有CNAS、CMA标识的对六类十点非屏蔽信道和永久链路产品进行检验报告扫描件证明:信道10项性能和永久链路9项性能符合</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ANSI/TIA-568.2-D2018BalancedTwisted-PairTelecommunicationsCablingandComponentsStandards的相应的指标要求。（投标文件中提供具有CMA或CNAS标识的第三方检测报告扫描件加以证明以及检测机构检测报告官网截图）；</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19★.为保证产品信号传输稳定，响应文件中提供第三方检测机构出具的具有CNAS、CMA标识的对六类15米超短链接六节点非屏蔽信道和永久链路检测报告扫描件证明:信道12项性能和永久链路9项性能符合</w:t>
            </w:r>
          </w:p>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ANSI/TIA-568.2-D2018BalancedTwisted-PairTelecommunicationsCablingandComponentsStandards的相应的指标要求。（投标文件中提供具有CMA或CNAS标识的第三方检测报告扫描件加以证明以及检测机构检测报告官网截图）；</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6</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箱</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OGJhODk2NmIxNDRmNDc1ODIwNjJmYTBjYzljN2YifQ=="/>
  </w:docVars>
  <w:rsids>
    <w:rsidRoot w:val="2CFF02E2"/>
    <w:rsid w:val="2CFF0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r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cs="Arial"/>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2022-12-10T07:19:00Z</dcterms:created>
  <dc:creator>永远的21号</dc:creator>
  <cp:lastModifiedBy>永远的21号</cp:lastModifiedBy>
  <dcterms:modified xsi:type="dcterms:W3CDTF">2022-12-10T07:20:39Z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7A559764029C4A4FA9AA53B7254F97AA</vt:lpwstr>
  </property>
</Properties>
</file>