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附件2 评分办法</w:t>
      </w:r>
    </w:p>
    <w:p>
      <w:pPr>
        <w:adjustRightInd w:val="0"/>
        <w:snapToGrid w:val="0"/>
        <w:spacing w:line="360" w:lineRule="auto"/>
        <w:ind w:firstLine="600" w:firstLineChars="200"/>
        <w:rPr>
          <w:rFonts w:hint="eastAsia" w:ascii="仿宋" w:hAnsi="仿宋" w:eastAsia="仿宋" w:cs="仿宋"/>
          <w:b w:val="0"/>
          <w:bCs w:val="0"/>
          <w:kern w:val="2"/>
          <w:sz w:val="30"/>
          <w:szCs w:val="30"/>
          <w:lang w:val="en-US" w:eastAsia="zh-CN" w:bidi="ar-SA"/>
        </w:rPr>
      </w:pPr>
      <w:bookmarkStart w:id="0" w:name="_GoBack"/>
      <w:r>
        <w:rPr>
          <w:rFonts w:hint="eastAsia" w:ascii="仿宋" w:hAnsi="仿宋" w:eastAsia="仿宋" w:cs="仿宋"/>
          <w:b w:val="0"/>
          <w:bCs w:val="0"/>
          <w:kern w:val="2"/>
          <w:sz w:val="30"/>
          <w:szCs w:val="30"/>
          <w:lang w:val="en-US" w:eastAsia="zh-CN" w:bidi="ar-SA"/>
        </w:rPr>
        <w:t>根据技术分的细则，评标小组应对进入综合评审的所有供应商进行评分，并分别填写综合评审表。</w:t>
      </w:r>
    </w:p>
    <w:p>
      <w:pPr>
        <w:adjustRightInd w:val="0"/>
        <w:snapToGrid w:val="0"/>
        <w:spacing w:line="360" w:lineRule="auto"/>
        <w:ind w:firstLine="600" w:firstLineChars="200"/>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技术分汇总方法为：对某一供应商的每一个指标项得分，取各位评委评分之平均值，保留至小数点后两位数，得到该供应商该指标项的得分。再将供应商每个指标项得分进行汇总，得到该供应商的技术分之和，即技术总得分。</w:t>
      </w:r>
      <w:bookmarkEnd w:id="0"/>
      <w:r>
        <w:rPr>
          <w:rFonts w:hint="eastAsia" w:ascii="仿宋" w:hAnsi="仿宋" w:eastAsia="仿宋" w:cs="仿宋"/>
          <w:b w:val="0"/>
          <w:bCs w:val="0"/>
          <w:kern w:val="2"/>
          <w:sz w:val="30"/>
          <w:szCs w:val="30"/>
          <w:lang w:val="en-US" w:eastAsia="zh-CN" w:bidi="ar-SA"/>
        </w:rPr>
        <w:br w:type="page"/>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0" w:type="dxa"/>
          <w:right w:w="108" w:type="dxa"/>
        </w:tblCellMar>
      </w:tblPr>
      <w:tblGrid>
        <w:gridCol w:w="1396"/>
        <w:gridCol w:w="1107"/>
        <w:gridCol w:w="467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26" w:hRule="atLeast"/>
        </w:trPr>
        <w:tc>
          <w:tcPr>
            <w:tcW w:w="819" w:type="pct"/>
            <w:vMerge w:val="restart"/>
            <w:noWrap w:val="0"/>
            <w:vAlign w:val="center"/>
          </w:tcPr>
          <w:p>
            <w:pPr>
              <w:widowControl/>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技术资质分</w:t>
            </w:r>
          </w:p>
        </w:tc>
        <w:tc>
          <w:tcPr>
            <w:tcW w:w="649" w:type="pct"/>
            <w:noWrap/>
            <w:vAlign w:val="center"/>
          </w:tcPr>
          <w:p>
            <w:pPr>
              <w:widowControl/>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评分内容</w:t>
            </w:r>
          </w:p>
        </w:tc>
        <w:tc>
          <w:tcPr>
            <w:tcW w:w="2744" w:type="pct"/>
            <w:noWrap/>
            <w:vAlign w:val="center"/>
          </w:tcPr>
          <w:p>
            <w:pPr>
              <w:widowControl/>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评分标准</w:t>
            </w:r>
          </w:p>
        </w:tc>
        <w:tc>
          <w:tcPr>
            <w:tcW w:w="786" w:type="pct"/>
            <w:noWrap/>
            <w:vAlign w:val="center"/>
          </w:tcPr>
          <w:p>
            <w:pPr>
              <w:widowControl/>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779" w:hRule="atLeast"/>
        </w:trPr>
        <w:tc>
          <w:tcPr>
            <w:tcW w:w="819" w:type="pct"/>
            <w:vMerge w:val="continue"/>
            <w:noWrap w:val="0"/>
            <w:vAlign w:val="top"/>
          </w:tcPr>
          <w:p>
            <w:pPr>
              <w:widowControl/>
              <w:jc w:val="center"/>
              <w:rPr>
                <w:rFonts w:hint="eastAsia" w:ascii="仿宋" w:hAnsi="仿宋" w:eastAsia="仿宋" w:cs="仿宋"/>
                <w:b w:val="0"/>
                <w:bCs w:val="0"/>
                <w:kern w:val="2"/>
                <w:sz w:val="30"/>
                <w:szCs w:val="30"/>
                <w:lang w:val="en-US" w:eastAsia="zh-CN" w:bidi="ar-SA"/>
              </w:rPr>
            </w:pPr>
          </w:p>
        </w:tc>
        <w:tc>
          <w:tcPr>
            <w:tcW w:w="649" w:type="pct"/>
            <w:noWrap w:val="0"/>
            <w:vAlign w:val="center"/>
          </w:tcPr>
          <w:p>
            <w:pPr>
              <w:widowControl/>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技术参数响应</w:t>
            </w:r>
          </w:p>
        </w:tc>
        <w:tc>
          <w:tcPr>
            <w:tcW w:w="2744" w:type="pct"/>
            <w:noWrap w:val="0"/>
            <w:vAlign w:val="center"/>
          </w:tcPr>
          <w:p>
            <w:pPr>
              <w:widowControl/>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所投产品技术参数及要求（标注“★”条款）完全满足或优于招标文件要求的得满分45分；每有一条负偏离的扣3分，扣完为止。 </w:t>
            </w:r>
          </w:p>
          <w:p>
            <w:pPr>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注：以招标文件以及采购需求要求提供的证明材料作为评审依据。</w:t>
            </w:r>
          </w:p>
        </w:tc>
        <w:tc>
          <w:tcPr>
            <w:tcW w:w="786" w:type="pct"/>
            <w:noWrap/>
            <w:vAlign w:val="center"/>
          </w:tcPr>
          <w:p>
            <w:pPr>
              <w:widowControl/>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0-45分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94" w:hRule="atLeast"/>
        </w:trPr>
        <w:tc>
          <w:tcPr>
            <w:tcW w:w="819" w:type="pct"/>
            <w:vMerge w:val="continue"/>
            <w:noWrap w:val="0"/>
            <w:vAlign w:val="top"/>
          </w:tcPr>
          <w:p>
            <w:pPr>
              <w:widowControl/>
              <w:jc w:val="center"/>
              <w:rPr>
                <w:rFonts w:hint="eastAsia" w:ascii="仿宋" w:hAnsi="仿宋" w:eastAsia="仿宋" w:cs="仿宋"/>
                <w:b w:val="0"/>
                <w:bCs w:val="0"/>
                <w:kern w:val="2"/>
                <w:sz w:val="30"/>
                <w:szCs w:val="30"/>
                <w:lang w:val="en-US" w:eastAsia="zh-CN" w:bidi="ar-SA"/>
              </w:rPr>
            </w:pPr>
          </w:p>
        </w:tc>
        <w:tc>
          <w:tcPr>
            <w:tcW w:w="649" w:type="pct"/>
            <w:noWrap w:val="0"/>
            <w:vAlign w:val="center"/>
          </w:tcPr>
          <w:p>
            <w:pPr>
              <w:widowControl/>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技术实施方案</w:t>
            </w:r>
          </w:p>
        </w:tc>
        <w:tc>
          <w:tcPr>
            <w:tcW w:w="2744" w:type="pct"/>
            <w:noWrap w:val="0"/>
            <w:vAlign w:val="center"/>
          </w:tcPr>
          <w:p>
            <w:pPr>
              <w:widowControl/>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供应商技术实施方案需包括总体设计、建设思路等内容，详细阐述系统的体系架构、功能模块和关键技术；方案内容需对建设需求进行详细描述，系统功能描述清晰且符合用户需求。由评委进行综合评分，优得 12＜F≤18分，较好得 6＜F≤12 分，一般得 0＜F≤6 分，未提供方案的不得分。</w:t>
            </w:r>
          </w:p>
        </w:tc>
        <w:tc>
          <w:tcPr>
            <w:tcW w:w="786" w:type="pct"/>
            <w:noWrap/>
            <w:vAlign w:val="center"/>
          </w:tcPr>
          <w:p>
            <w:pPr>
              <w:widowControl/>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739" w:hRule="atLeast"/>
        </w:trPr>
        <w:tc>
          <w:tcPr>
            <w:tcW w:w="819" w:type="pct"/>
            <w:vMerge w:val="continue"/>
            <w:noWrap w:val="0"/>
            <w:vAlign w:val="top"/>
          </w:tcPr>
          <w:p>
            <w:pPr>
              <w:widowControl/>
              <w:jc w:val="center"/>
              <w:rPr>
                <w:rFonts w:hint="eastAsia" w:ascii="仿宋" w:hAnsi="仿宋" w:eastAsia="仿宋" w:cs="仿宋"/>
                <w:b w:val="0"/>
                <w:bCs w:val="0"/>
                <w:kern w:val="2"/>
                <w:sz w:val="30"/>
                <w:szCs w:val="30"/>
                <w:lang w:val="en-US" w:eastAsia="zh-CN" w:bidi="ar-SA"/>
              </w:rPr>
            </w:pPr>
          </w:p>
        </w:tc>
        <w:tc>
          <w:tcPr>
            <w:tcW w:w="649" w:type="pct"/>
            <w:noWrap w:val="0"/>
            <w:vAlign w:val="center"/>
          </w:tcPr>
          <w:p>
            <w:pPr>
              <w:widowControl/>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投标供应商实力</w:t>
            </w:r>
          </w:p>
        </w:tc>
        <w:tc>
          <w:tcPr>
            <w:tcW w:w="2744" w:type="pct"/>
            <w:noWrap w:val="0"/>
            <w:vAlign w:val="center"/>
          </w:tcPr>
          <w:p>
            <w:pPr>
              <w:widowControl/>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1、投标供应商具有经中国国家认证认可监督管理委员会认证机构颁发有效的质量体系认证证书、环境管理体系认证证书、职业健康安全管理体系认证证书、全部提供得 6分，缺一项扣2分。</w:t>
            </w:r>
          </w:p>
          <w:p>
            <w:pPr>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备注：响应文件中须提供上述证书扫描件</w:t>
            </w:r>
          </w:p>
        </w:tc>
        <w:tc>
          <w:tcPr>
            <w:tcW w:w="786" w:type="pct"/>
            <w:noWrap/>
            <w:vAlign w:val="center"/>
          </w:tcPr>
          <w:p>
            <w:pPr>
              <w:widowControl/>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893" w:hRule="atLeast"/>
        </w:trPr>
        <w:tc>
          <w:tcPr>
            <w:tcW w:w="819" w:type="pct"/>
            <w:vMerge w:val="continue"/>
            <w:noWrap w:val="0"/>
            <w:vAlign w:val="top"/>
          </w:tcPr>
          <w:p>
            <w:pPr>
              <w:widowControl/>
              <w:jc w:val="center"/>
              <w:rPr>
                <w:rFonts w:hint="eastAsia" w:ascii="仿宋" w:hAnsi="仿宋" w:eastAsia="仿宋" w:cs="仿宋"/>
                <w:b w:val="0"/>
                <w:bCs w:val="0"/>
                <w:kern w:val="2"/>
                <w:sz w:val="30"/>
                <w:szCs w:val="30"/>
                <w:lang w:val="en-US" w:eastAsia="zh-CN" w:bidi="ar-SA"/>
              </w:rPr>
            </w:pPr>
          </w:p>
        </w:tc>
        <w:tc>
          <w:tcPr>
            <w:tcW w:w="649" w:type="pct"/>
            <w:noWrap w:val="0"/>
            <w:vAlign w:val="center"/>
          </w:tcPr>
          <w:p>
            <w:pPr>
              <w:widowControl/>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投标供应商业绩</w:t>
            </w:r>
          </w:p>
        </w:tc>
        <w:tc>
          <w:tcPr>
            <w:tcW w:w="2744" w:type="pct"/>
            <w:noWrap w:val="0"/>
            <w:vAlign w:val="center"/>
          </w:tcPr>
          <w:p>
            <w:pPr>
              <w:widowControl/>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自2018年1月1日以来（以合同签订时间为准），投标供应商具有信息化类项目业绩的。每提供一个业绩得1分，满分3分。</w:t>
            </w:r>
          </w:p>
          <w:p>
            <w:pPr>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注：响应文件中提供合同关键页扫描件或影印件，不提供不得分。若合同无法体现项目时间、类型等的须另附业主证明等相关证明材料。</w:t>
            </w:r>
          </w:p>
        </w:tc>
        <w:tc>
          <w:tcPr>
            <w:tcW w:w="786" w:type="pct"/>
            <w:noWrap/>
            <w:vAlign w:val="center"/>
          </w:tcPr>
          <w:p>
            <w:pPr>
              <w:widowControl/>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918" w:hRule="atLeast"/>
        </w:trPr>
        <w:tc>
          <w:tcPr>
            <w:tcW w:w="819" w:type="pct"/>
            <w:vMerge w:val="continue"/>
            <w:noWrap w:val="0"/>
            <w:vAlign w:val="top"/>
          </w:tcPr>
          <w:p>
            <w:pPr>
              <w:widowControl/>
              <w:jc w:val="center"/>
              <w:rPr>
                <w:rFonts w:hint="eastAsia" w:ascii="仿宋" w:hAnsi="仿宋" w:eastAsia="仿宋" w:cs="仿宋"/>
                <w:b w:val="0"/>
                <w:bCs w:val="0"/>
                <w:kern w:val="2"/>
                <w:sz w:val="30"/>
                <w:szCs w:val="30"/>
                <w:lang w:val="en-US" w:eastAsia="zh-CN" w:bidi="ar-SA"/>
              </w:rPr>
            </w:pPr>
          </w:p>
        </w:tc>
        <w:tc>
          <w:tcPr>
            <w:tcW w:w="649" w:type="pct"/>
            <w:noWrap w:val="0"/>
            <w:vAlign w:val="center"/>
          </w:tcPr>
          <w:p>
            <w:pPr>
              <w:widowControl/>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售后服务及培训</w:t>
            </w:r>
          </w:p>
        </w:tc>
        <w:tc>
          <w:tcPr>
            <w:tcW w:w="2744" w:type="pct"/>
            <w:noWrap w:val="0"/>
            <w:vAlign w:val="center"/>
          </w:tcPr>
          <w:p>
            <w:pPr>
              <w:widowControl/>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根据各投标人的售后服务体系、出现故障后响应时间及处理流程、对采购方人员的技术培训等应答情况，分优、良、一般三个等级打分：</w:t>
            </w:r>
          </w:p>
          <w:p>
            <w:pPr>
              <w:widowControl/>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优：售后服务体系完整、切实可行，出现故障后响应时间短，处理流程具体合理、及时有效，对采购方人员的技术培训安排具体、操作性强，得12＜F≤18 分；</w:t>
            </w:r>
          </w:p>
          <w:p>
            <w:pPr>
              <w:widowControl/>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良：售后服务体系较完整、较为切实可行，出现故障后响应时间较短，处理流程较具体合理、较及时有效，对采购方人员的技术培训安排较为具体、操作性较强，得 6＜F≤12分；</w:t>
            </w:r>
          </w:p>
          <w:p>
            <w:pPr>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一般：售后服务体系一般，出现故障后响应时间长，处理流程一般，对采购方人员的技术培训安排一般，得 0＜F≤6分；</w:t>
            </w:r>
          </w:p>
        </w:tc>
        <w:tc>
          <w:tcPr>
            <w:tcW w:w="786" w:type="pct"/>
            <w:noWrap/>
            <w:vAlign w:val="center"/>
          </w:tcPr>
          <w:p>
            <w:pPr>
              <w:widowControl/>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918" w:hRule="atLeast"/>
        </w:trPr>
        <w:tc>
          <w:tcPr>
            <w:tcW w:w="819" w:type="pct"/>
            <w:noWrap w:val="0"/>
            <w:vAlign w:val="top"/>
          </w:tcPr>
          <w:p>
            <w:pPr>
              <w:widowControl/>
              <w:jc w:val="center"/>
              <w:rPr>
                <w:rFonts w:hint="eastAsia" w:ascii="仿宋" w:hAnsi="仿宋" w:eastAsia="仿宋" w:cs="仿宋"/>
                <w:b w:val="0"/>
                <w:bCs w:val="0"/>
                <w:kern w:val="2"/>
                <w:sz w:val="30"/>
                <w:szCs w:val="30"/>
                <w:lang w:val="en-US" w:eastAsia="zh-CN" w:bidi="ar-SA"/>
              </w:rPr>
            </w:pPr>
          </w:p>
        </w:tc>
        <w:tc>
          <w:tcPr>
            <w:tcW w:w="649" w:type="pct"/>
            <w:noWrap w:val="0"/>
            <w:vAlign w:val="center"/>
          </w:tcPr>
          <w:p>
            <w:pPr>
              <w:widowControl/>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价格分</w:t>
            </w:r>
          </w:p>
        </w:tc>
        <w:tc>
          <w:tcPr>
            <w:tcW w:w="2744" w:type="pct"/>
            <w:noWrap w:val="0"/>
            <w:vAlign w:val="center"/>
          </w:tcPr>
          <w:p>
            <w:pPr>
              <w:widowControl/>
              <w:spacing w:line="360" w:lineRule="auto"/>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基准价法：</w:t>
            </w:r>
          </w:p>
          <w:p>
            <w:pPr>
              <w:widowControl/>
              <w:spacing w:line="360" w:lineRule="auto"/>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1、有效参选报价：根据参选人的参选报价（含税总价），经评审未被否决参选的报价为有效参选报价。</w:t>
            </w:r>
          </w:p>
          <w:p>
            <w:pPr>
              <w:widowControl/>
              <w:spacing w:line="360" w:lineRule="auto"/>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2、取所有有效参选报价的平均值为基准价；</w:t>
            </w:r>
          </w:p>
          <w:p>
            <w:pPr>
              <w:widowControl/>
              <w:spacing w:line="360" w:lineRule="auto"/>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3、高于基准价的报价得分=10-（该有效参选报价-基准价）/基准价*100*0.5，扣完为止；</w:t>
            </w:r>
          </w:p>
          <w:p>
            <w:pPr>
              <w:widowControl/>
              <w:spacing w:line="360" w:lineRule="auto"/>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4、等于基准价得满分10分；</w:t>
            </w:r>
          </w:p>
          <w:p>
            <w:pPr>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5、低于基准价的报价得分=10-（基准价-该有效参选报价）/基准价*100*0.3，扣完为止。</w:t>
            </w:r>
          </w:p>
        </w:tc>
        <w:tc>
          <w:tcPr>
            <w:tcW w:w="786" w:type="pct"/>
            <w:noWrap/>
            <w:vAlign w:val="center"/>
          </w:tcPr>
          <w:p>
            <w:pPr>
              <w:widowControl/>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0-10分</w:t>
            </w:r>
          </w:p>
        </w:tc>
      </w:tr>
    </w:tbl>
    <w:p>
      <w:pPr>
        <w:adjustRightInd w:val="0"/>
        <w:snapToGrid w:val="0"/>
        <w:spacing w:line="360" w:lineRule="auto"/>
        <w:ind w:firstLine="600" w:firstLineChars="200"/>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注：以上评分标准中要求的相关证明材料，投标人需提供清晰的复印件并加盖投标单位公章装订入投标文件内。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OGJhODk2NmIxNDRmNDc1ODIwNjJmYTBjYzljN2YifQ=="/>
  </w:docVars>
  <w:rsids>
    <w:rsidRoot w:val="6A2D4BA5"/>
    <w:rsid w:val="6A2D4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r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cs="Arial"/>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2022-12-10T07:20:00Z</dcterms:created>
  <dc:creator>永远的21号</dc:creator>
  <cp:lastModifiedBy>永远的21号</cp:lastModifiedBy>
  <dcterms:modified xsi:type="dcterms:W3CDTF">2022-12-10T07:21:49Z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FA94005832EA4FDB8C001E9CFFB8C713</vt:lpwstr>
  </property>
</Properties>
</file>